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209" w:rsidRPr="00CE7F26" w:rsidRDefault="004E7209" w:rsidP="00CE7F26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CE7F26">
        <w:rPr>
          <w:rFonts w:ascii="Arial" w:hAnsi="Arial" w:cs="Arial"/>
          <w:sz w:val="32"/>
          <w:szCs w:val="32"/>
        </w:rPr>
        <w:t>Přístupy k rozvíjení čtenářské gramotnosti u dětí v předškolním věku</w:t>
      </w:r>
    </w:p>
    <w:p w:rsidR="004E7209" w:rsidRPr="00B90CE8" w:rsidRDefault="004E7209" w:rsidP="006F44E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90CE8">
        <w:rPr>
          <w:rFonts w:ascii="Arial" w:hAnsi="Arial" w:cs="Arial"/>
          <w:sz w:val="28"/>
          <w:szCs w:val="28"/>
        </w:rPr>
        <w:t>Motto</w:t>
      </w:r>
      <w:r>
        <w:rPr>
          <w:rFonts w:ascii="Arial" w:hAnsi="Arial" w:cs="Arial"/>
          <w:sz w:val="28"/>
          <w:szCs w:val="28"/>
        </w:rPr>
        <w:t>:</w:t>
      </w:r>
      <w:r w:rsidRPr="00B90CE8">
        <w:rPr>
          <w:rFonts w:ascii="Arial" w:hAnsi="Arial" w:cs="Arial"/>
          <w:sz w:val="28"/>
          <w:szCs w:val="28"/>
        </w:rPr>
        <w:t xml:space="preserve"> „</w:t>
      </w:r>
      <w:r w:rsidRPr="00B90CE8">
        <w:rPr>
          <w:rFonts w:ascii="Arial" w:hAnsi="Arial" w:cs="Arial"/>
          <w:i/>
          <w:sz w:val="28"/>
          <w:szCs w:val="28"/>
        </w:rPr>
        <w:t>Napřed musíme umět přečíst svět, než začneme číst slova.“</w:t>
      </w:r>
      <w:r w:rsidRPr="00B90CE8">
        <w:rPr>
          <w:rFonts w:ascii="Sylfaen" w:hAnsi="Sylfaen"/>
          <w:sz w:val="28"/>
          <w:szCs w:val="28"/>
        </w:rPr>
        <w:t xml:space="preserve"> </w:t>
      </w:r>
      <w:r w:rsidRPr="00B90CE8">
        <w:rPr>
          <w:rFonts w:ascii="Arial" w:hAnsi="Arial" w:cs="Arial"/>
          <w:sz w:val="28"/>
          <w:szCs w:val="28"/>
        </w:rPr>
        <w:t xml:space="preserve">(Paulo Freire) </w:t>
      </w:r>
    </w:p>
    <w:p w:rsidR="004E7209" w:rsidRPr="00E41AE3" w:rsidRDefault="004E7209" w:rsidP="00E41AE3">
      <w:pPr>
        <w:spacing w:before="600" w:after="600" w:line="360" w:lineRule="auto"/>
        <w:contextualSpacing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Zuzana Maňourová</w:t>
      </w:r>
    </w:p>
    <w:p w:rsidR="004E7209" w:rsidRPr="00E41AE3" w:rsidRDefault="004E7209" w:rsidP="00E41AE3">
      <w:pPr>
        <w:spacing w:before="600" w:after="600" w:line="360" w:lineRule="auto"/>
        <w:contextualSpacing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Jihočeská univerzita v Českých Budějovicích, Pedagogická fakulta</w:t>
      </w:r>
    </w:p>
    <w:p w:rsidR="004E7209" w:rsidRPr="00E41AE3" w:rsidRDefault="004E7209" w:rsidP="00E41AE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E7209" w:rsidRPr="00E41AE3" w:rsidRDefault="004E7209" w:rsidP="00E41AE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E7209" w:rsidRPr="00E41AE3" w:rsidRDefault="004E7209" w:rsidP="00E41AE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1AE3">
        <w:rPr>
          <w:rFonts w:ascii="Arial" w:hAnsi="Arial" w:cs="Arial"/>
          <w:sz w:val="24"/>
          <w:szCs w:val="24"/>
        </w:rPr>
        <w:t>Anotace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E7209" w:rsidRPr="00B90CE8" w:rsidRDefault="004E7209" w:rsidP="00B90CE8">
      <w:pPr>
        <w:spacing w:line="360" w:lineRule="auto"/>
        <w:jc w:val="both"/>
        <w:rPr>
          <w:rFonts w:ascii="Times New Roman" w:hAnsi="Times New Roman"/>
          <w:sz w:val="24"/>
        </w:rPr>
      </w:pPr>
      <w:r w:rsidRPr="007B2460">
        <w:rPr>
          <w:rFonts w:ascii="Times New Roman" w:hAnsi="Times New Roman"/>
          <w:sz w:val="24"/>
        </w:rPr>
        <w:t>Příspěvek má charakter teoretické statě, jež si klade za cíl zmapovat a blíže popsat přístupy k rozvoji gramotnostních dov</w:t>
      </w:r>
      <w:r>
        <w:rPr>
          <w:rFonts w:ascii="Times New Roman" w:hAnsi="Times New Roman"/>
          <w:sz w:val="24"/>
        </w:rPr>
        <w:t>edností dětí v předškolním věku. Z</w:t>
      </w:r>
      <w:r w:rsidRPr="007B2460">
        <w:rPr>
          <w:rFonts w:ascii="Times New Roman" w:hAnsi="Times New Roman"/>
          <w:sz w:val="24"/>
        </w:rPr>
        <w:t xml:space="preserve">abývá </w:t>
      </w:r>
      <w:r>
        <w:rPr>
          <w:rFonts w:ascii="Times New Roman" w:hAnsi="Times New Roman"/>
          <w:sz w:val="24"/>
        </w:rPr>
        <w:t xml:space="preserve">se </w:t>
      </w:r>
      <w:r w:rsidRPr="007B2460">
        <w:rPr>
          <w:rFonts w:ascii="Times New Roman" w:hAnsi="Times New Roman"/>
          <w:sz w:val="24"/>
        </w:rPr>
        <w:t xml:space="preserve">otázkou vztahu mezi tzv. přirozenými přístupy k rozvoji gramotnosti a přístupy, které směřují spíše k systematické výuce čtení (a psaní). Nastíněno je také uchopení dané problematiky z hlediska kurikulárních dokumentů a následná komparace pojetí v kurikulárních koncepcích dalších evropských států. </w:t>
      </w:r>
    </w:p>
    <w:p w:rsidR="004E7209" w:rsidRPr="00E41AE3" w:rsidRDefault="004E7209" w:rsidP="00E41AE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E7209" w:rsidRPr="00E41AE3" w:rsidRDefault="004E7209" w:rsidP="00E41AE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1AE3">
        <w:rPr>
          <w:rFonts w:ascii="Arial" w:hAnsi="Arial" w:cs="Arial"/>
          <w:sz w:val="24"/>
          <w:szCs w:val="24"/>
        </w:rPr>
        <w:t>Klíčová slova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E7209" w:rsidRPr="00E41AE3" w:rsidRDefault="004E7209" w:rsidP="00E41AE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Čtenářsk</w:t>
      </w:r>
      <w:r w:rsidRPr="00747B55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 gramotnost</w:t>
      </w:r>
      <w:r w:rsidRPr="00E41AE3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gramotnostní dovednosti; koncepce přirozených přístupů k rozvoji gramotnosti; raná alfabetizace </w:t>
      </w:r>
    </w:p>
    <w:p w:rsidR="004E7209" w:rsidRPr="00E41AE3" w:rsidRDefault="004E7209" w:rsidP="00E41AE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E7209" w:rsidRPr="00E41AE3" w:rsidRDefault="004E7209" w:rsidP="00E41AE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1AE3">
        <w:rPr>
          <w:rFonts w:ascii="Arial" w:hAnsi="Arial" w:cs="Arial"/>
          <w:sz w:val="24"/>
          <w:szCs w:val="24"/>
        </w:rPr>
        <w:t>Abstract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E7209" w:rsidRPr="0068611B" w:rsidRDefault="004E7209" w:rsidP="0068611B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8611B">
        <w:rPr>
          <w:rFonts w:ascii="Times New Roman" w:hAnsi="Times New Roman"/>
          <w:color w:val="000000"/>
          <w:sz w:val="24"/>
          <w:szCs w:val="24"/>
          <w:lang w:eastAsia="cs-CZ"/>
        </w:rPr>
        <w:t>The report is a theoretical essay which describes an approach to the development of reading literacy skills of preschool age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 children</w:t>
      </w:r>
      <w:r w:rsidRPr="0068611B">
        <w:rPr>
          <w:rFonts w:ascii="Times New Roman" w:hAnsi="Times New Roman"/>
          <w:color w:val="000000"/>
          <w:sz w:val="24"/>
          <w:szCs w:val="24"/>
          <w:lang w:eastAsia="cs-CZ"/>
        </w:rPr>
        <w:t>. The report solves the problem between new eme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rging approaches and the</w:t>
      </w:r>
      <w:r w:rsidRPr="0068611B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approaches which are focused on the systematical instruction of reading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 (and writing)</w:t>
      </w:r>
      <w:r w:rsidRPr="0068611B">
        <w:rPr>
          <w:rFonts w:ascii="Times New Roman" w:hAnsi="Times New Roman"/>
          <w:color w:val="000000"/>
          <w:sz w:val="24"/>
          <w:szCs w:val="24"/>
          <w:lang w:eastAsia="cs-CZ"/>
        </w:rPr>
        <w:t xml:space="preserve">. It also deals with a comparison of this theme within European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states´ </w:t>
      </w:r>
      <w:r w:rsidRPr="0068611B">
        <w:rPr>
          <w:rFonts w:ascii="Times New Roman" w:hAnsi="Times New Roman"/>
          <w:color w:val="000000"/>
          <w:sz w:val="24"/>
          <w:szCs w:val="24"/>
          <w:lang w:eastAsia="cs-CZ"/>
        </w:rPr>
        <w:t>curricula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es</w:t>
      </w:r>
      <w:r w:rsidRPr="0068611B">
        <w:rPr>
          <w:rFonts w:ascii="Times New Roman" w:hAnsi="Times New Roman"/>
          <w:color w:val="000000"/>
          <w:sz w:val="24"/>
          <w:szCs w:val="24"/>
          <w:lang w:eastAsia="cs-CZ"/>
        </w:rPr>
        <w:t>.</w:t>
      </w:r>
    </w:p>
    <w:p w:rsidR="004E7209" w:rsidRPr="00E41AE3" w:rsidRDefault="004E7209" w:rsidP="00E41AE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E7209" w:rsidRPr="00E41AE3" w:rsidRDefault="004E7209" w:rsidP="00E41AE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1AE3">
        <w:rPr>
          <w:rFonts w:ascii="Arial" w:hAnsi="Arial" w:cs="Arial"/>
          <w:sz w:val="24"/>
          <w:szCs w:val="24"/>
        </w:rPr>
        <w:t>Key words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E7209" w:rsidRPr="00E41AE3" w:rsidRDefault="004E7209" w:rsidP="00E41AE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Reading literacy</w:t>
      </w:r>
      <w:r w:rsidRPr="00E41AE3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literacy skills; emerging approaches; learning of reading in early childhood</w:t>
      </w:r>
    </w:p>
    <w:p w:rsidR="004E7209" w:rsidRDefault="004E7209" w:rsidP="00E41AE3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4E7209" w:rsidRPr="00E41AE3" w:rsidRDefault="004E7209" w:rsidP="009C576B">
      <w:pPr>
        <w:keepNext/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E41AE3">
        <w:rPr>
          <w:rFonts w:ascii="Arial" w:hAnsi="Arial" w:cs="Arial"/>
          <w:b/>
          <w:sz w:val="24"/>
          <w:szCs w:val="24"/>
        </w:rPr>
        <w:lastRenderedPageBreak/>
        <w:t>Úvod</w:t>
      </w:r>
    </w:p>
    <w:p w:rsidR="004E7209" w:rsidRDefault="004E7209" w:rsidP="009C576B">
      <w:pPr>
        <w:keepNext/>
        <w:spacing w:line="360" w:lineRule="auto"/>
        <w:ind w:firstLine="708"/>
        <w:jc w:val="both"/>
        <w:rPr>
          <w:rFonts w:ascii="Times New Roman" w:hAnsi="Times New Roman"/>
          <w:sz w:val="24"/>
        </w:rPr>
      </w:pPr>
      <w:r w:rsidRPr="007B2460">
        <w:rPr>
          <w:rFonts w:ascii="Times New Roman" w:hAnsi="Times New Roman"/>
          <w:sz w:val="24"/>
        </w:rPr>
        <w:t>Osvojování si psané řeči je stěžejní a dominující složkou elementárního vzdělávání a nezbytnou podmínkou a klíčovým nástrojem dalšího vzdělávání. Dovednost ovládat čtení</w:t>
      </w:r>
      <w:r>
        <w:rPr>
          <w:rFonts w:ascii="Times New Roman" w:hAnsi="Times New Roman"/>
          <w:sz w:val="24"/>
        </w:rPr>
        <w:t xml:space="preserve"> a psaní na úrovni funkční je jednou z podmínek úspěšného osobního (duševního a</w:t>
      </w:r>
      <w:r w:rsidRPr="007B2460">
        <w:rPr>
          <w:rFonts w:ascii="Times New Roman" w:hAnsi="Times New Roman"/>
          <w:sz w:val="24"/>
        </w:rPr>
        <w:t xml:space="preserve"> duchovní</w:t>
      </w:r>
      <w:r>
        <w:rPr>
          <w:rFonts w:ascii="Times New Roman" w:hAnsi="Times New Roman"/>
          <w:sz w:val="24"/>
        </w:rPr>
        <w:t>ho</w:t>
      </w:r>
      <w:r w:rsidRPr="007B2460">
        <w:rPr>
          <w:rFonts w:ascii="Times New Roman" w:hAnsi="Times New Roman"/>
          <w:sz w:val="24"/>
        </w:rPr>
        <w:t>) i profesní</w:t>
      </w:r>
      <w:r>
        <w:rPr>
          <w:rFonts w:ascii="Times New Roman" w:hAnsi="Times New Roman"/>
          <w:sz w:val="24"/>
        </w:rPr>
        <w:t>ho</w:t>
      </w:r>
      <w:r w:rsidRPr="007B2460">
        <w:rPr>
          <w:rFonts w:ascii="Times New Roman" w:hAnsi="Times New Roman"/>
          <w:sz w:val="24"/>
        </w:rPr>
        <w:t xml:space="preserve"> život</w:t>
      </w:r>
      <w:r w:rsidRPr="00747B55">
        <w:rPr>
          <w:rFonts w:ascii="Times New Roman" w:hAnsi="Times New Roman"/>
          <w:sz w:val="24"/>
        </w:rPr>
        <w:t>a</w:t>
      </w:r>
      <w:r w:rsidRPr="007B2460">
        <w:rPr>
          <w:rFonts w:ascii="Times New Roman" w:hAnsi="Times New Roman"/>
          <w:sz w:val="24"/>
        </w:rPr>
        <w:t xml:space="preserve"> člověka. Jak </w:t>
      </w:r>
      <w:r>
        <w:rPr>
          <w:rFonts w:ascii="Times New Roman" w:hAnsi="Times New Roman"/>
          <w:sz w:val="24"/>
        </w:rPr>
        <w:t>se ukazuje, úroveň dalšího rozvo</w:t>
      </w:r>
      <w:r w:rsidRPr="007B2460">
        <w:rPr>
          <w:rFonts w:ascii="Times New Roman" w:hAnsi="Times New Roman"/>
          <w:sz w:val="24"/>
        </w:rPr>
        <w:t>je gr</w:t>
      </w:r>
      <w:r>
        <w:rPr>
          <w:rFonts w:ascii="Times New Roman" w:hAnsi="Times New Roman"/>
          <w:sz w:val="24"/>
        </w:rPr>
        <w:t xml:space="preserve">amotnosti ovlivňují </w:t>
      </w:r>
      <w:r w:rsidRPr="007B2460">
        <w:rPr>
          <w:rFonts w:ascii="Times New Roman" w:hAnsi="Times New Roman"/>
          <w:sz w:val="24"/>
        </w:rPr>
        <w:t xml:space="preserve">také aspekty, které se přímo váží k předškolnímu věku (Zápotočná, 2001; Wildová, 2002; 2005a; Heinová, 1999; Spittová, 2000; Ulichová, 2001). Jak ukazují a shodně uvádějí naše i zahraniční </w:t>
      </w:r>
      <w:r w:rsidRPr="00747B55">
        <w:rPr>
          <w:rFonts w:ascii="Times New Roman" w:hAnsi="Times New Roman"/>
          <w:sz w:val="24"/>
        </w:rPr>
        <w:t>prameny v</w:t>
      </w:r>
      <w:r>
        <w:rPr>
          <w:rFonts w:ascii="Times New Roman" w:hAnsi="Times New Roman"/>
          <w:sz w:val="24"/>
        </w:rPr>
        <w:t xml:space="preserve">ycházející </w:t>
      </w:r>
      <w:r w:rsidRPr="007B2460">
        <w:rPr>
          <w:rFonts w:ascii="Times New Roman" w:hAnsi="Times New Roman"/>
          <w:sz w:val="24"/>
        </w:rPr>
        <w:t xml:space="preserve">z poznatků kognitivní psychologie a aplikující konstruktivistický přístup, děti si již v období předškolního věku začínají </w:t>
      </w:r>
      <w:r>
        <w:rPr>
          <w:rFonts w:ascii="Times New Roman" w:hAnsi="Times New Roman"/>
          <w:sz w:val="24"/>
        </w:rPr>
        <w:t xml:space="preserve">vytvářet své koncepce </w:t>
      </w:r>
      <w:r w:rsidRPr="006441B0">
        <w:rPr>
          <w:rFonts w:ascii="Times New Roman" w:hAnsi="Times New Roman"/>
          <w:sz w:val="24"/>
        </w:rPr>
        <w:t xml:space="preserve">o principech </w:t>
      </w:r>
      <w:r w:rsidRPr="007B2460">
        <w:rPr>
          <w:rFonts w:ascii="Times New Roman" w:hAnsi="Times New Roman"/>
          <w:sz w:val="24"/>
        </w:rPr>
        <w:t>grafického záznamu</w:t>
      </w:r>
      <w:r>
        <w:rPr>
          <w:rFonts w:ascii="Times New Roman" w:hAnsi="Times New Roman"/>
          <w:sz w:val="24"/>
        </w:rPr>
        <w:t xml:space="preserve"> a o funkci čtení a psaní. Charakter a úroveň těchto dětských </w:t>
      </w:r>
      <w:r w:rsidRPr="007B2460">
        <w:rPr>
          <w:rFonts w:ascii="Times New Roman" w:hAnsi="Times New Roman"/>
          <w:sz w:val="24"/>
        </w:rPr>
        <w:t>ko</w:t>
      </w:r>
      <w:r>
        <w:rPr>
          <w:rFonts w:ascii="Times New Roman" w:hAnsi="Times New Roman"/>
          <w:sz w:val="24"/>
        </w:rPr>
        <w:t>ncepcí</w:t>
      </w:r>
      <w:r w:rsidRPr="007B246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jsou podmíněny</w:t>
      </w:r>
      <w:r w:rsidRPr="007B2460">
        <w:rPr>
          <w:rFonts w:ascii="Times New Roman" w:hAnsi="Times New Roman"/>
          <w:sz w:val="24"/>
        </w:rPr>
        <w:t xml:space="preserve"> také </w:t>
      </w:r>
      <w:r>
        <w:rPr>
          <w:rFonts w:ascii="Times New Roman" w:hAnsi="Times New Roman"/>
          <w:sz w:val="24"/>
        </w:rPr>
        <w:t xml:space="preserve">bohatostí </w:t>
      </w:r>
      <w:r w:rsidRPr="007B2460">
        <w:rPr>
          <w:rFonts w:ascii="Times New Roman" w:hAnsi="Times New Roman"/>
          <w:sz w:val="24"/>
        </w:rPr>
        <w:t>lit</w:t>
      </w:r>
      <w:r>
        <w:rPr>
          <w:rFonts w:ascii="Times New Roman" w:hAnsi="Times New Roman"/>
          <w:sz w:val="24"/>
        </w:rPr>
        <w:t xml:space="preserve">erárního prostředí, ve kterém děti </w:t>
      </w:r>
      <w:r w:rsidRPr="006441B0">
        <w:rPr>
          <w:rFonts w:ascii="Times New Roman" w:hAnsi="Times New Roman"/>
          <w:sz w:val="24"/>
        </w:rPr>
        <w:t xml:space="preserve">vyrůstají, </w:t>
      </w:r>
      <w:r>
        <w:rPr>
          <w:rFonts w:ascii="Times New Roman" w:hAnsi="Times New Roman"/>
          <w:sz w:val="24"/>
        </w:rPr>
        <w:t>přímou zkušeností dětí</w:t>
      </w:r>
      <w:r w:rsidRPr="007B2460">
        <w:rPr>
          <w:rFonts w:ascii="Times New Roman" w:hAnsi="Times New Roman"/>
          <w:sz w:val="24"/>
        </w:rPr>
        <w:t xml:space="preserve"> s tištěnými texty a</w:t>
      </w:r>
      <w:r>
        <w:rPr>
          <w:rFonts w:ascii="Times New Roman" w:hAnsi="Times New Roman"/>
          <w:sz w:val="24"/>
        </w:rPr>
        <w:t xml:space="preserve"> způsobem konfrontace s nimi</w:t>
      </w:r>
      <w:r w:rsidRPr="007B2460">
        <w:rPr>
          <w:rFonts w:ascii="Times New Roman" w:hAnsi="Times New Roman"/>
          <w:sz w:val="24"/>
        </w:rPr>
        <w:t xml:space="preserve">. </w:t>
      </w:r>
    </w:p>
    <w:p w:rsidR="004E7209" w:rsidRDefault="004E7209" w:rsidP="000959FF">
      <w:pPr>
        <w:spacing w:line="360" w:lineRule="auto"/>
        <w:ind w:firstLine="708"/>
        <w:jc w:val="both"/>
        <w:rPr>
          <w:rFonts w:ascii="Times New Roman" w:hAnsi="Times New Roman"/>
          <w:sz w:val="24"/>
        </w:rPr>
      </w:pPr>
      <w:r w:rsidRPr="007B2460">
        <w:rPr>
          <w:rFonts w:ascii="Times New Roman" w:hAnsi="Times New Roman"/>
          <w:sz w:val="24"/>
        </w:rPr>
        <w:t>Zabýváme-li se tematikou rozvoje pregramotnosti</w:t>
      </w:r>
      <w:r w:rsidRPr="007B2460">
        <w:rPr>
          <w:rStyle w:val="Znakapoznpodarou"/>
          <w:rFonts w:ascii="Times New Roman" w:hAnsi="Times New Roman"/>
          <w:sz w:val="24"/>
        </w:rPr>
        <w:footnoteReference w:id="1"/>
      </w:r>
      <w:r w:rsidRPr="007B2460">
        <w:rPr>
          <w:rFonts w:ascii="Times New Roman" w:hAnsi="Times New Roman"/>
          <w:sz w:val="24"/>
        </w:rPr>
        <w:t>, není možné opominout skuteč</w:t>
      </w:r>
      <w:r>
        <w:rPr>
          <w:rFonts w:ascii="Times New Roman" w:hAnsi="Times New Roman"/>
          <w:sz w:val="24"/>
        </w:rPr>
        <w:t xml:space="preserve">nost vědeckotechnického </w:t>
      </w:r>
      <w:r w:rsidRPr="006441B0">
        <w:rPr>
          <w:rFonts w:ascii="Times New Roman" w:hAnsi="Times New Roman"/>
          <w:sz w:val="24"/>
        </w:rPr>
        <w:t>vývoje,</w:t>
      </w:r>
      <w:r w:rsidRPr="009220AA">
        <w:rPr>
          <w:rFonts w:ascii="Times New Roman" w:hAnsi="Times New Roman"/>
          <w:color w:val="FF0000"/>
          <w:sz w:val="24"/>
        </w:rPr>
        <w:t xml:space="preserve"> </w:t>
      </w:r>
      <w:r w:rsidRPr="007B2460">
        <w:rPr>
          <w:rFonts w:ascii="Times New Roman" w:hAnsi="Times New Roman"/>
          <w:sz w:val="24"/>
        </w:rPr>
        <w:t>souběžných společenských změn a jejich dopad</w:t>
      </w:r>
      <w:r>
        <w:rPr>
          <w:rFonts w:ascii="Times New Roman" w:hAnsi="Times New Roman"/>
          <w:sz w:val="24"/>
        </w:rPr>
        <w:t>u</w:t>
      </w:r>
      <w:r w:rsidRPr="007B2460">
        <w:rPr>
          <w:rFonts w:ascii="Times New Roman" w:hAnsi="Times New Roman"/>
          <w:sz w:val="24"/>
        </w:rPr>
        <w:t xml:space="preserve"> na proměnu ž</w:t>
      </w:r>
      <w:r>
        <w:rPr>
          <w:rFonts w:ascii="Times New Roman" w:hAnsi="Times New Roman"/>
          <w:sz w:val="24"/>
        </w:rPr>
        <w:t>ivotního stylu současných dětí. V</w:t>
      </w:r>
      <w:r w:rsidRPr="007B2460">
        <w:rPr>
          <w:rFonts w:ascii="Times New Roman" w:hAnsi="Times New Roman"/>
          <w:sz w:val="24"/>
        </w:rPr>
        <w:t xml:space="preserve">elkého důrazu nabývají </w:t>
      </w:r>
      <w:r>
        <w:rPr>
          <w:rFonts w:ascii="Times New Roman" w:hAnsi="Times New Roman"/>
          <w:sz w:val="24"/>
        </w:rPr>
        <w:t xml:space="preserve">také </w:t>
      </w:r>
      <w:r w:rsidRPr="007B2460">
        <w:rPr>
          <w:rFonts w:ascii="Times New Roman" w:hAnsi="Times New Roman"/>
          <w:sz w:val="24"/>
        </w:rPr>
        <w:t>multimediální technologie, které obecně „odvádějí děti od četby</w:t>
      </w:r>
      <w:r>
        <w:rPr>
          <w:rFonts w:ascii="Times New Roman" w:hAnsi="Times New Roman"/>
          <w:sz w:val="24"/>
        </w:rPr>
        <w:t>“</w:t>
      </w:r>
      <w:r w:rsidRPr="007B2460">
        <w:rPr>
          <w:rFonts w:ascii="Times New Roman" w:hAnsi="Times New Roman"/>
          <w:sz w:val="24"/>
        </w:rPr>
        <w:t xml:space="preserve"> a rozmělňují jejich zájem o </w:t>
      </w:r>
      <w:r>
        <w:rPr>
          <w:rFonts w:ascii="Times New Roman" w:hAnsi="Times New Roman"/>
          <w:sz w:val="24"/>
        </w:rPr>
        <w:t>tištěné knihy (srov. Reichen, 1990; Zápotočná, 2001). P</w:t>
      </w:r>
      <w:r w:rsidRPr="007B2460">
        <w:rPr>
          <w:rFonts w:ascii="Times New Roman" w:hAnsi="Times New Roman"/>
          <w:sz w:val="24"/>
        </w:rPr>
        <w:t>roměnou prochází také podíl času, který ro</w:t>
      </w:r>
      <w:r>
        <w:rPr>
          <w:rFonts w:ascii="Times New Roman" w:hAnsi="Times New Roman"/>
          <w:sz w:val="24"/>
        </w:rPr>
        <w:t>diče dětem věnují. Mluví se</w:t>
      </w:r>
      <w:r w:rsidRPr="007B2460">
        <w:rPr>
          <w:rFonts w:ascii="Times New Roman" w:hAnsi="Times New Roman"/>
          <w:sz w:val="24"/>
        </w:rPr>
        <w:t xml:space="preserve"> o „pomyslných“ nůžkách, které ukazují na rozdílnou úroveň gramotnostní vyspělosti a připravenosti dětí na počátku jejich školní docházky. Rozdíly vyvstávají nejen v jejich připravenosti na</w:t>
      </w:r>
      <w:r>
        <w:rPr>
          <w:rFonts w:ascii="Times New Roman" w:hAnsi="Times New Roman"/>
          <w:sz w:val="24"/>
        </w:rPr>
        <w:t xml:space="preserve"> výuku čtení a psaní, ale také v různé úrovni </w:t>
      </w:r>
      <w:r w:rsidRPr="007B2460">
        <w:rPr>
          <w:rFonts w:ascii="Times New Roman" w:hAnsi="Times New Roman"/>
          <w:sz w:val="24"/>
        </w:rPr>
        <w:t>dětských prekoncepcí</w:t>
      </w:r>
      <w:r>
        <w:rPr>
          <w:rStyle w:val="Znakapoznpodarou"/>
          <w:rFonts w:ascii="Times New Roman" w:hAnsi="Times New Roman"/>
          <w:sz w:val="24"/>
        </w:rPr>
        <w:footnoteReference w:id="2"/>
      </w:r>
      <w:r>
        <w:rPr>
          <w:rFonts w:ascii="Times New Roman" w:hAnsi="Times New Roman"/>
          <w:sz w:val="24"/>
        </w:rPr>
        <w:t xml:space="preserve"> z hlediska vhledu do systému a funkcí</w:t>
      </w:r>
      <w:r w:rsidRPr="007B2460">
        <w:rPr>
          <w:rFonts w:ascii="Times New Roman" w:hAnsi="Times New Roman"/>
          <w:sz w:val="24"/>
        </w:rPr>
        <w:t xml:space="preserve"> psa</w:t>
      </w:r>
      <w:r>
        <w:rPr>
          <w:rFonts w:ascii="Times New Roman" w:hAnsi="Times New Roman"/>
          <w:sz w:val="24"/>
        </w:rPr>
        <w:t xml:space="preserve">ného jazyka. Zřejmé rozdíly jsou také v úrovni rozvoje </w:t>
      </w:r>
      <w:r w:rsidRPr="007B2460">
        <w:rPr>
          <w:rFonts w:ascii="Times New Roman" w:hAnsi="Times New Roman"/>
          <w:sz w:val="24"/>
        </w:rPr>
        <w:t>řečových schopností</w:t>
      </w:r>
      <w:r w:rsidRPr="007B2460">
        <w:rPr>
          <w:rStyle w:val="Znakapoznpodarou"/>
          <w:rFonts w:ascii="Times New Roman" w:hAnsi="Times New Roman"/>
          <w:sz w:val="24"/>
        </w:rPr>
        <w:footnoteReference w:id="3"/>
      </w:r>
      <w:r>
        <w:rPr>
          <w:rFonts w:ascii="Times New Roman" w:hAnsi="Times New Roman"/>
          <w:sz w:val="24"/>
        </w:rPr>
        <w:t xml:space="preserve"> dětí. </w:t>
      </w:r>
    </w:p>
    <w:p w:rsidR="004E7209" w:rsidRDefault="004E7209" w:rsidP="000959FF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4E7209" w:rsidRDefault="004E7209" w:rsidP="000959F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A21DCD">
        <w:rPr>
          <w:rFonts w:ascii="Arial" w:hAnsi="Arial" w:cs="Arial"/>
          <w:sz w:val="24"/>
          <w:szCs w:val="24"/>
        </w:rPr>
        <w:t xml:space="preserve"> Přístupy k rozvoji pregramotnostních dovednost</w:t>
      </w:r>
      <w:r>
        <w:rPr>
          <w:rFonts w:ascii="Arial" w:hAnsi="Arial" w:cs="Arial"/>
          <w:sz w:val="24"/>
          <w:szCs w:val="24"/>
        </w:rPr>
        <w:t xml:space="preserve"> v kontextu různých koncepce</w:t>
      </w:r>
    </w:p>
    <w:p w:rsidR="004E7209" w:rsidRPr="000959FF" w:rsidRDefault="004E7209" w:rsidP="000959FF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Arial" w:hAnsi="Arial" w:cs="Arial"/>
          <w:sz w:val="24"/>
          <w:szCs w:val="24"/>
        </w:rPr>
        <w:t>1</w:t>
      </w:r>
      <w:r w:rsidRPr="00E41AE3">
        <w:rPr>
          <w:rFonts w:ascii="Arial" w:hAnsi="Arial" w:cs="Arial"/>
          <w:sz w:val="24"/>
          <w:szCs w:val="24"/>
        </w:rPr>
        <w:t xml:space="preserve">.1 </w:t>
      </w:r>
      <w:r w:rsidRPr="007B2460">
        <w:rPr>
          <w:rFonts w:ascii="Arial" w:hAnsi="Arial" w:cs="Arial"/>
          <w:sz w:val="24"/>
          <w:szCs w:val="24"/>
        </w:rPr>
        <w:t xml:space="preserve">Koncepce přirozených přístupů k rozvoji gramotnosti </w:t>
      </w:r>
    </w:p>
    <w:p w:rsidR="004E7209" w:rsidRPr="00B1184A" w:rsidRDefault="004E7209" w:rsidP="008902F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2460">
        <w:rPr>
          <w:rFonts w:ascii="Times New Roman" w:hAnsi="Times New Roman"/>
          <w:sz w:val="24"/>
          <w:szCs w:val="24"/>
        </w:rPr>
        <w:lastRenderedPageBreak/>
        <w:t xml:space="preserve">V současných pohledech na pojetí rozvíjení tzv. pregramotnosti (ve vztahu </w:t>
      </w:r>
      <w:r w:rsidRPr="00747B55">
        <w:rPr>
          <w:rFonts w:ascii="Times New Roman" w:hAnsi="Times New Roman"/>
          <w:sz w:val="24"/>
          <w:szCs w:val="24"/>
        </w:rPr>
        <w:t>k poznatkům</w:t>
      </w:r>
      <w:r w:rsidRPr="007B2460">
        <w:rPr>
          <w:rFonts w:ascii="Times New Roman" w:hAnsi="Times New Roman"/>
          <w:sz w:val="24"/>
          <w:szCs w:val="24"/>
        </w:rPr>
        <w:t xml:space="preserve"> psycholigvistiky a ve vztahu ke konstruktivistickému pojetí</w:t>
      </w:r>
      <w:r w:rsidRPr="007B2460">
        <w:rPr>
          <w:rStyle w:val="Znakapoznpodarou"/>
          <w:rFonts w:ascii="Times New Roman" w:hAnsi="Times New Roman"/>
          <w:sz w:val="24"/>
          <w:szCs w:val="24"/>
        </w:rPr>
        <w:footnoteReference w:id="4"/>
      </w:r>
      <w:r w:rsidRPr="007B2460">
        <w:rPr>
          <w:rFonts w:ascii="Times New Roman" w:hAnsi="Times New Roman"/>
          <w:sz w:val="24"/>
          <w:szCs w:val="24"/>
        </w:rPr>
        <w:t xml:space="preserve">) je zdůrazňována </w:t>
      </w:r>
      <w:r>
        <w:rPr>
          <w:rFonts w:ascii="Times New Roman" w:hAnsi="Times New Roman"/>
          <w:sz w:val="24"/>
          <w:szCs w:val="24"/>
        </w:rPr>
        <w:t xml:space="preserve">především </w:t>
      </w:r>
      <w:r w:rsidRPr="007B2460">
        <w:rPr>
          <w:rFonts w:ascii="Times New Roman" w:hAnsi="Times New Roman"/>
          <w:sz w:val="24"/>
          <w:szCs w:val="24"/>
        </w:rPr>
        <w:t xml:space="preserve">vlastní aktivita dítěte a rozvoj </w:t>
      </w:r>
      <w:r>
        <w:rPr>
          <w:rFonts w:ascii="Times New Roman" w:hAnsi="Times New Roman"/>
          <w:sz w:val="24"/>
          <w:szCs w:val="24"/>
        </w:rPr>
        <w:t xml:space="preserve">funkcí </w:t>
      </w:r>
      <w:r w:rsidRPr="007B2460">
        <w:rPr>
          <w:rFonts w:ascii="Times New Roman" w:hAnsi="Times New Roman"/>
          <w:sz w:val="24"/>
          <w:szCs w:val="24"/>
        </w:rPr>
        <w:t>komunikačních, expresivních, poznávacích, případně dalš</w:t>
      </w:r>
      <w:r>
        <w:rPr>
          <w:rFonts w:ascii="Times New Roman" w:hAnsi="Times New Roman"/>
          <w:sz w:val="24"/>
          <w:szCs w:val="24"/>
        </w:rPr>
        <w:t>ích funkcí (Zápotočná, 2001, s. </w:t>
      </w:r>
      <w:r w:rsidRPr="007B2460">
        <w:rPr>
          <w:rFonts w:ascii="Times New Roman" w:hAnsi="Times New Roman"/>
          <w:sz w:val="24"/>
          <w:szCs w:val="24"/>
        </w:rPr>
        <w:t>274), které jsou pro dosažení její optimální úrovně důležité (Wildová 2005</w:t>
      </w:r>
      <w:r>
        <w:rPr>
          <w:rFonts w:ascii="Times New Roman" w:hAnsi="Times New Roman"/>
          <w:sz w:val="24"/>
          <w:szCs w:val="24"/>
        </w:rPr>
        <w:t>a, s. 24). Zápotočná (2001, s. </w:t>
      </w:r>
      <w:r w:rsidRPr="007B2460">
        <w:rPr>
          <w:rFonts w:ascii="Times New Roman" w:hAnsi="Times New Roman"/>
          <w:sz w:val="24"/>
          <w:szCs w:val="24"/>
        </w:rPr>
        <w:t>274) ve vztahu k pojetí gramotnosti v předškolním věku odkazuje k obecnému vymezení gramotnosti jako komplexu vzájemně propojených jazykových kompetencí</w:t>
      </w:r>
      <w:r w:rsidRPr="007B2460">
        <w:rPr>
          <w:rStyle w:val="Znakapoznpodarou"/>
          <w:rFonts w:ascii="Times New Roman" w:hAnsi="Times New Roman"/>
          <w:sz w:val="24"/>
          <w:szCs w:val="24"/>
        </w:rPr>
        <w:footnoteReference w:id="5"/>
      </w:r>
      <w:r w:rsidRPr="007B2460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srov. </w:t>
      </w:r>
      <w:r w:rsidRPr="007B2460">
        <w:rPr>
          <w:rFonts w:ascii="Times New Roman" w:hAnsi="Times New Roman"/>
          <w:sz w:val="24"/>
          <w:szCs w:val="24"/>
        </w:rPr>
        <w:t xml:space="preserve">Šebesta, 2005). </w:t>
      </w:r>
      <w:r w:rsidRPr="00700AA1">
        <w:rPr>
          <w:rFonts w:ascii="Times New Roman" w:hAnsi="Times New Roman"/>
          <w:sz w:val="24"/>
          <w:szCs w:val="24"/>
        </w:rPr>
        <w:t xml:space="preserve">Obecně má být pregramotnost (stejně jako počáteční čtenářská gramotnost) rozvíjena komplexně, se zaměřením na všechny </w:t>
      </w:r>
      <w:r>
        <w:rPr>
          <w:rFonts w:ascii="Times New Roman" w:hAnsi="Times New Roman"/>
          <w:sz w:val="24"/>
          <w:szCs w:val="24"/>
        </w:rPr>
        <w:t>její složky</w:t>
      </w:r>
      <w:r w:rsidRPr="00700AA1">
        <w:rPr>
          <w:rFonts w:ascii="Times New Roman" w:hAnsi="Times New Roman"/>
          <w:sz w:val="24"/>
          <w:szCs w:val="24"/>
        </w:rPr>
        <w:t>. Rozvoj jednotlivých složek (ve vztahu k rozvoji jednotlivých funkcí) by měl probíhat souběžně, ve vzájemné synergii a podpoře, v procesu jejich smysluplného a reálného pou</w:t>
      </w:r>
      <w:r>
        <w:rPr>
          <w:rFonts w:ascii="Times New Roman" w:hAnsi="Times New Roman"/>
          <w:sz w:val="24"/>
          <w:szCs w:val="24"/>
        </w:rPr>
        <w:t xml:space="preserve">žívání </w:t>
      </w:r>
      <w:r w:rsidRPr="00747B55">
        <w:rPr>
          <w:rFonts w:ascii="Times New Roman" w:hAnsi="Times New Roman"/>
          <w:sz w:val="24"/>
          <w:szCs w:val="24"/>
        </w:rPr>
        <w:t>(Doležalová, 2010, s. 17–18).</w:t>
      </w:r>
      <w:r>
        <w:rPr>
          <w:rFonts w:ascii="Times New Roman" w:hAnsi="Times New Roman"/>
          <w:sz w:val="24"/>
          <w:szCs w:val="24"/>
        </w:rPr>
        <w:t xml:space="preserve"> </w:t>
      </w:r>
      <w:r w:rsidR="00B1184A">
        <w:rPr>
          <w:rFonts w:ascii="Times New Roman" w:hAnsi="Times New Roman"/>
          <w:sz w:val="24"/>
          <w:szCs w:val="24"/>
        </w:rPr>
        <w:t xml:space="preserve">Také </w:t>
      </w:r>
      <w:r w:rsidRPr="00B1184A">
        <w:rPr>
          <w:rFonts w:ascii="Times New Roman" w:hAnsi="Times New Roman"/>
          <w:sz w:val="24"/>
          <w:szCs w:val="24"/>
        </w:rPr>
        <w:t>Vykoukalová, Wildová (2013</w:t>
      </w:r>
      <w:r w:rsidR="0058698D">
        <w:rPr>
          <w:rFonts w:ascii="Times New Roman" w:hAnsi="Times New Roman"/>
          <w:sz w:val="24"/>
          <w:szCs w:val="24"/>
        </w:rPr>
        <w:t>, s. 180</w:t>
      </w:r>
      <w:r w:rsidR="00B1184A">
        <w:rPr>
          <w:rFonts w:ascii="Times New Roman" w:hAnsi="Times New Roman"/>
          <w:sz w:val="24"/>
          <w:szCs w:val="24"/>
        </w:rPr>
        <w:t xml:space="preserve">) </w:t>
      </w:r>
      <w:r w:rsidRPr="00B1184A">
        <w:rPr>
          <w:rFonts w:ascii="Times New Roman" w:hAnsi="Times New Roman"/>
          <w:sz w:val="24"/>
          <w:szCs w:val="24"/>
        </w:rPr>
        <w:t>navrhují přistupovat k rozvíjení čtenářské gramotnosti jako ke komplexu mnoha složek. Již v předškolním období by mohlo být vhodnou cestou cíleně rozvíjet jednotlivé složky gramotnosti</w:t>
      </w:r>
      <w:r w:rsidR="00B1184A">
        <w:rPr>
          <w:rFonts w:ascii="Times New Roman" w:hAnsi="Times New Roman"/>
          <w:sz w:val="24"/>
          <w:szCs w:val="24"/>
        </w:rPr>
        <w:t xml:space="preserve"> dle aktuálních </w:t>
      </w:r>
      <w:r w:rsidRPr="00B1184A">
        <w:rPr>
          <w:rFonts w:ascii="Times New Roman" w:hAnsi="Times New Roman"/>
          <w:sz w:val="24"/>
          <w:szCs w:val="24"/>
        </w:rPr>
        <w:t xml:space="preserve">dovedností dětí, a to </w:t>
      </w:r>
      <w:r w:rsidR="00B1184A">
        <w:rPr>
          <w:rFonts w:ascii="Times New Roman" w:hAnsi="Times New Roman"/>
          <w:sz w:val="24"/>
          <w:szCs w:val="24"/>
        </w:rPr>
        <w:t xml:space="preserve">také </w:t>
      </w:r>
      <w:r w:rsidRPr="00B1184A">
        <w:rPr>
          <w:rFonts w:ascii="Times New Roman" w:hAnsi="Times New Roman"/>
          <w:sz w:val="24"/>
          <w:szCs w:val="24"/>
        </w:rPr>
        <w:t>v analogii s postupem, který autorky popisují v případě rozvíjení čtenářské gramotnosti</w:t>
      </w:r>
      <w:r w:rsidRPr="00B1184A">
        <w:rPr>
          <w:rStyle w:val="Znakapoznpodarou"/>
          <w:rFonts w:ascii="Times New Roman" w:hAnsi="Times New Roman"/>
          <w:sz w:val="24"/>
          <w:szCs w:val="24"/>
        </w:rPr>
        <w:footnoteReference w:id="6"/>
      </w:r>
      <w:r w:rsidRPr="00B1184A">
        <w:rPr>
          <w:rFonts w:ascii="Times New Roman" w:hAnsi="Times New Roman"/>
          <w:sz w:val="24"/>
          <w:szCs w:val="24"/>
        </w:rPr>
        <w:t xml:space="preserve"> u dětí v primární škole</w:t>
      </w:r>
      <w:r w:rsidR="0058698D">
        <w:rPr>
          <w:rFonts w:ascii="Times New Roman" w:hAnsi="Times New Roman"/>
          <w:sz w:val="24"/>
          <w:szCs w:val="24"/>
        </w:rPr>
        <w:t>.</w:t>
      </w:r>
    </w:p>
    <w:p w:rsidR="004E7209" w:rsidRDefault="004E7209" w:rsidP="00E36BE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2460">
        <w:rPr>
          <w:rFonts w:ascii="Times New Roman" w:hAnsi="Times New Roman"/>
          <w:sz w:val="24"/>
          <w:szCs w:val="24"/>
        </w:rPr>
        <w:t xml:space="preserve">Již několik desetiletí je utváření gramotnosti chápáno jako celoživotní děj, přičemž mnoho současných autorů (Brügelmann 1997; Pasa, Ragano, Fijalkow 2006; Sulzby, Teale 1996 aj. in Doležalová, 2010) poukazují na to, že gramotnost nezačíná u dětí až v počátku školní docházky, ale je zakládána již v nejčasnějších fázích lidského života (Doležalová, 2010; Zápotočná, 2001). Tendence posouvat význam gramotnosti do období raného a předškolního věku se objevují </w:t>
      </w:r>
      <w:r w:rsidRPr="00747B55">
        <w:rPr>
          <w:rFonts w:ascii="Times New Roman" w:hAnsi="Times New Roman"/>
          <w:sz w:val="24"/>
          <w:szCs w:val="24"/>
        </w:rPr>
        <w:t xml:space="preserve">v posledních desetiletích pod záhlavím tzv. přirozených způsobů k rozvoji gramotnosti, tj. </w:t>
      </w:r>
      <w:r w:rsidRPr="00747B55">
        <w:rPr>
          <w:rFonts w:ascii="Times New Roman" w:hAnsi="Times New Roman"/>
          <w:i/>
          <w:sz w:val="24"/>
          <w:szCs w:val="24"/>
        </w:rPr>
        <w:t>„koncepcí emergenčně – spontánně se vytvářející gramotnosti“</w:t>
      </w:r>
      <w:r w:rsidRPr="00747B55">
        <w:rPr>
          <w:rStyle w:val="Znakapoznpodarou"/>
          <w:rFonts w:ascii="Times New Roman" w:hAnsi="Times New Roman"/>
          <w:sz w:val="24"/>
          <w:szCs w:val="24"/>
        </w:rPr>
        <w:footnoteReference w:id="7"/>
      </w:r>
      <w:r w:rsidRPr="00747B55">
        <w:rPr>
          <w:rFonts w:ascii="Times New Roman" w:hAnsi="Times New Roman"/>
          <w:sz w:val="24"/>
          <w:szCs w:val="24"/>
        </w:rPr>
        <w:t xml:space="preserve"> nebo </w:t>
      </w:r>
      <w:r w:rsidRPr="00747B55">
        <w:rPr>
          <w:rFonts w:ascii="Times New Roman" w:hAnsi="Times New Roman"/>
          <w:i/>
          <w:sz w:val="24"/>
          <w:szCs w:val="24"/>
        </w:rPr>
        <w:t>„psychogenetické teorie vývoje psané řeči“</w:t>
      </w:r>
      <w:r w:rsidRPr="00747B55">
        <w:rPr>
          <w:rStyle w:val="Znakapoznpodarou"/>
          <w:rFonts w:ascii="Times New Roman" w:hAnsi="Times New Roman"/>
          <w:i/>
          <w:sz w:val="24"/>
          <w:szCs w:val="24"/>
        </w:rPr>
        <w:footnoteReference w:id="8"/>
      </w:r>
      <w:r w:rsidRPr="00747B55">
        <w:rPr>
          <w:rFonts w:ascii="Times New Roman" w:hAnsi="Times New Roman"/>
          <w:sz w:val="24"/>
          <w:szCs w:val="24"/>
        </w:rPr>
        <w:t xml:space="preserve">, odvolávajících se na odkaz Piageta, Vygotského a dalších významných osobností z oboru pedagogiky a psychologie. Vývoj osvojování základů čtení a psaní je dáván do analogie s vývojem mluvené řeči (srov. Šebesta, 2005), přičemž důraz je kladen na využití specifického vývojového potenciálu, </w:t>
      </w:r>
      <w:r w:rsidRPr="00747B55">
        <w:rPr>
          <w:rFonts w:ascii="Times New Roman" w:hAnsi="Times New Roman"/>
          <w:sz w:val="24"/>
          <w:szCs w:val="24"/>
        </w:rPr>
        <w:lastRenderedPageBreak/>
        <w:t>kterým dítě v raných stádiích ontogeneze disponuje</w:t>
      </w:r>
      <w:r w:rsidRPr="00747B55">
        <w:rPr>
          <w:rStyle w:val="Znakapoznpodarou"/>
          <w:rFonts w:ascii="Times New Roman" w:hAnsi="Times New Roman"/>
          <w:sz w:val="24"/>
          <w:szCs w:val="24"/>
        </w:rPr>
        <w:footnoteReference w:id="9"/>
      </w:r>
      <w:r w:rsidRPr="00747B55">
        <w:rPr>
          <w:rFonts w:ascii="Times New Roman" w:hAnsi="Times New Roman"/>
          <w:sz w:val="24"/>
          <w:szCs w:val="24"/>
        </w:rPr>
        <w:t xml:space="preserve"> (Zápotočná, 2001; s. 274; Wildová, 2005a, s. 24). Společným jmenovatelem uvedených přístupů je uvědomění si existence vlastní aktivní úlohy dítěte ve zmocňování se světa psané</w:t>
      </w:r>
      <w:r w:rsidRPr="008E0A50">
        <w:rPr>
          <w:rFonts w:ascii="Times New Roman" w:hAnsi="Times New Roman"/>
          <w:sz w:val="24"/>
          <w:szCs w:val="24"/>
        </w:rPr>
        <w:t xml:space="preserve"> kultury, kdy významnou úlohu sehrává také liter</w:t>
      </w:r>
      <w:r>
        <w:rPr>
          <w:rFonts w:ascii="Times New Roman" w:hAnsi="Times New Roman"/>
          <w:sz w:val="24"/>
          <w:szCs w:val="24"/>
        </w:rPr>
        <w:t>árně podnětné (bohaté) prostředí (Zápotočná 2001, s. </w:t>
      </w:r>
      <w:r w:rsidRPr="007B2460">
        <w:rPr>
          <w:rFonts w:ascii="Times New Roman" w:hAnsi="Times New Roman"/>
          <w:sz w:val="24"/>
          <w:szCs w:val="24"/>
        </w:rPr>
        <w:t>274) a vzájemná interakce mezi dospělým a dítětem</w:t>
      </w:r>
      <w:r w:rsidRPr="007B2460">
        <w:rPr>
          <w:rStyle w:val="Znakapoznpodarou"/>
          <w:rFonts w:ascii="Times New Roman" w:hAnsi="Times New Roman"/>
          <w:sz w:val="24"/>
          <w:szCs w:val="24"/>
        </w:rPr>
        <w:footnoteReference w:id="10"/>
      </w:r>
      <w:r>
        <w:rPr>
          <w:rFonts w:ascii="Times New Roman" w:hAnsi="Times New Roman"/>
          <w:sz w:val="24"/>
          <w:szCs w:val="24"/>
        </w:rPr>
        <w:t xml:space="preserve"> (Doležalová, 2010, s. </w:t>
      </w:r>
      <w:r w:rsidRPr="007B2460">
        <w:rPr>
          <w:rFonts w:ascii="Times New Roman" w:hAnsi="Times New Roman"/>
          <w:sz w:val="24"/>
          <w:szCs w:val="24"/>
        </w:rPr>
        <w:t xml:space="preserve">13). </w:t>
      </w:r>
      <w:r>
        <w:rPr>
          <w:rFonts w:ascii="Times New Roman" w:hAnsi="Times New Roman"/>
          <w:sz w:val="24"/>
          <w:szCs w:val="24"/>
        </w:rPr>
        <w:t xml:space="preserve">Dítě nabývá gramotnostních dovedností </w:t>
      </w:r>
      <w:r w:rsidRPr="009B1FFB">
        <w:rPr>
          <w:rFonts w:ascii="Times New Roman" w:hAnsi="Times New Roman"/>
          <w:i/>
          <w:sz w:val="24"/>
          <w:szCs w:val="24"/>
        </w:rPr>
        <w:t>„za chodu“</w:t>
      </w:r>
      <w:r>
        <w:rPr>
          <w:rFonts w:ascii="Times New Roman" w:hAnsi="Times New Roman"/>
          <w:sz w:val="24"/>
          <w:szCs w:val="24"/>
        </w:rPr>
        <w:t xml:space="preserve">, v přirozených situacích a prostřednictvím smysluplných činností (Zápotočná, 201, s. 275), přičemž se jedná o ryze individuální záležitost každého dítěte. </w:t>
      </w:r>
    </w:p>
    <w:p w:rsidR="004E7209" w:rsidRDefault="004E7209" w:rsidP="00F7371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7B55">
        <w:rPr>
          <w:rFonts w:ascii="Times New Roman" w:hAnsi="Times New Roman"/>
          <w:sz w:val="24"/>
          <w:szCs w:val="24"/>
        </w:rPr>
        <w:t>Jak již bylo zmíněno, důležitou roli v této koncepci zastupuje podmínka literárně podnětného prostředí, jež podněcuje u dětí přirozený zájem o psanou kulturu. Podle Doležalové (2010, s. 13) děti z podnětného rodinného prostředí disponují podstatnými poznatky o písmu a mají zkušenosti se psanou kulturou. To vidí Doležalová (2010, s. 13) jako důležité pozitivum pro budoucí školní docházku. Doležalová (2010, s. 13) zdůrazňuje také význam bohatých literárních zkušeností</w:t>
      </w:r>
      <w:r w:rsidRPr="00747B55">
        <w:rPr>
          <w:rStyle w:val="Znakapoznpodarou"/>
          <w:rFonts w:ascii="Times New Roman" w:hAnsi="Times New Roman"/>
          <w:sz w:val="24"/>
          <w:szCs w:val="24"/>
        </w:rPr>
        <w:footnoteReference w:id="11"/>
      </w:r>
      <w:r w:rsidRPr="00747B55">
        <w:rPr>
          <w:rFonts w:ascii="Times New Roman" w:hAnsi="Times New Roman"/>
          <w:sz w:val="24"/>
          <w:szCs w:val="24"/>
        </w:rPr>
        <w:t xml:space="preserve"> s psanou řečí u dětí předškolního věku pro jejich další gramotnostní rozvoj. Doležalová (2010, s. 17), s odkazem na Zápotočnou (2000/2001, s. 74–75), vymezuje konkrétní obsahy a okruhy činností</w:t>
      </w:r>
      <w:r w:rsidRPr="00747B55">
        <w:rPr>
          <w:rStyle w:val="Znakapoznpodarou"/>
          <w:rFonts w:ascii="Times New Roman" w:hAnsi="Times New Roman"/>
          <w:sz w:val="24"/>
          <w:szCs w:val="24"/>
        </w:rPr>
        <w:footnoteReference w:id="12"/>
      </w:r>
      <w:r w:rsidRPr="00747B55">
        <w:rPr>
          <w:rFonts w:ascii="Times New Roman" w:hAnsi="Times New Roman"/>
          <w:sz w:val="24"/>
          <w:szCs w:val="24"/>
        </w:rPr>
        <w:t>, jež podporují rozvoj gramotnostních dovedností dětí předškolního věku, přičemž upozorňuje také na význam experimentování dětí s písemnou produkcí (srov. Spittová, 2000; Menzel, 2000; Junová, 1990; Resnicková, Hamptonová, 2009).</w:t>
      </w:r>
      <w:r w:rsidRPr="00700AA1">
        <w:rPr>
          <w:rFonts w:ascii="Times New Roman" w:hAnsi="Times New Roman"/>
          <w:sz w:val="24"/>
          <w:szCs w:val="24"/>
        </w:rPr>
        <w:t xml:space="preserve"> </w:t>
      </w:r>
    </w:p>
    <w:p w:rsidR="0058698D" w:rsidRPr="00F73711" w:rsidRDefault="0058698D" w:rsidP="00F73711">
      <w:pPr>
        <w:spacing w:line="360" w:lineRule="auto"/>
        <w:ind w:firstLine="708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4E7209" w:rsidRPr="00AC75AF" w:rsidRDefault="004E7209" w:rsidP="002767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 </w:t>
      </w:r>
      <w:r w:rsidRPr="00AC75AF">
        <w:rPr>
          <w:rFonts w:ascii="Arial" w:hAnsi="Arial" w:cs="Arial"/>
          <w:sz w:val="24"/>
          <w:szCs w:val="24"/>
        </w:rPr>
        <w:t xml:space="preserve">Koncepce podporující ranou alfabetizaci dětí v předškolním věku </w:t>
      </w:r>
    </w:p>
    <w:p w:rsidR="004E7209" w:rsidRPr="00700AA1" w:rsidRDefault="004E7209" w:rsidP="00531967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747B55">
        <w:rPr>
          <w:rFonts w:ascii="Times New Roman" w:hAnsi="Times New Roman"/>
          <w:sz w:val="24"/>
          <w:szCs w:val="24"/>
        </w:rPr>
        <w:t xml:space="preserve">Přestože současné tendence v chápání rozvoje pregramotnosti směřují do oblasti tzv. přirozených přístupů k rozvoji gramotnosti (viz výše), z analýz dalších teoretických materiálů vyvstává otázka, zda ponechat seznamování se s psaným jazykem zcela v kompetenci dětí (při zajištění dostatku vnějších podnětů a literárně podnětného prostředí), anebo zda v tomto období participovat také cíleně volenými metodickými a didaktickými postupy, které budou směřovat k systematické výuce čtení a psaní. Jak shodně uvádějí např. Heinová (1991), </w:t>
      </w:r>
      <w:r w:rsidRPr="00747B55">
        <w:rPr>
          <w:rFonts w:ascii="Times New Roman" w:hAnsi="Times New Roman"/>
          <w:sz w:val="24"/>
          <w:szCs w:val="24"/>
        </w:rPr>
        <w:lastRenderedPageBreak/>
        <w:t>Ulichová (2001), Menzel (2000), Spittová (2000), Zápotočná (2001) a jak vyplynulo také z výzkumů např. Ferreirové (Viktorová, 2003; Goodman, 1986), děti dlouho před vstupem do školy projevují přirozený zájem o písmo. Od raného dětství jsou ve svém okolí v přímé interakci s psanými texty. Jejich zájem o psaný jazyk je tak přirozený a vychází z jejich vlastní iniciativy a potřeb. Můžeme říci, že se práce s písmem stává jejich vnitřní vývojovou potřebou (srov. Viktorová, 2003; Menzel, 2000), kdy děti napodobují činnost dospělých a</w:t>
      </w:r>
      <w:r w:rsidRPr="00700AA1">
        <w:rPr>
          <w:rFonts w:ascii="Times New Roman" w:hAnsi="Times New Roman"/>
          <w:sz w:val="24"/>
          <w:szCs w:val="24"/>
        </w:rPr>
        <w:t xml:space="preserve"> vlastní objevitelskou činností přicházejí </w:t>
      </w:r>
      <w:r>
        <w:rPr>
          <w:rFonts w:ascii="Times New Roman" w:hAnsi="Times New Roman"/>
          <w:sz w:val="24"/>
          <w:szCs w:val="24"/>
        </w:rPr>
        <w:t>(</w:t>
      </w:r>
      <w:r w:rsidRPr="00700AA1">
        <w:rPr>
          <w:rFonts w:ascii="Times New Roman" w:hAnsi="Times New Roman"/>
          <w:sz w:val="24"/>
          <w:szCs w:val="24"/>
        </w:rPr>
        <w:t>na různé kvantitativní a kvalitativní úrovni</w:t>
      </w:r>
      <w:r>
        <w:rPr>
          <w:rFonts w:ascii="Times New Roman" w:hAnsi="Times New Roman"/>
          <w:sz w:val="24"/>
          <w:szCs w:val="24"/>
        </w:rPr>
        <w:t>)</w:t>
      </w:r>
      <w:r w:rsidRPr="00700AA1">
        <w:rPr>
          <w:rFonts w:ascii="Times New Roman" w:hAnsi="Times New Roman"/>
          <w:sz w:val="24"/>
          <w:szCs w:val="24"/>
        </w:rPr>
        <w:t xml:space="preserve"> na podstatu kódu psané řeči (Doležalová, 2010; Wildová, 2005a; Spittová, 2000; Viktorová, 2003). </w:t>
      </w:r>
    </w:p>
    <w:p w:rsidR="004E7209" w:rsidRPr="00700AA1" w:rsidRDefault="004E7209" w:rsidP="00B2621E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 bylo naznačeno v předcházející kapitole, např. Zápotočná</w:t>
      </w:r>
      <w:r w:rsidRPr="007B2460">
        <w:rPr>
          <w:rFonts w:ascii="Times New Roman" w:hAnsi="Times New Roman"/>
          <w:sz w:val="24"/>
          <w:szCs w:val="24"/>
        </w:rPr>
        <w:t xml:space="preserve"> (2001, s.</w:t>
      </w:r>
      <w:r>
        <w:rPr>
          <w:rFonts w:ascii="Times New Roman" w:hAnsi="Times New Roman"/>
          <w:sz w:val="24"/>
          <w:szCs w:val="24"/>
        </w:rPr>
        <w:t> </w:t>
      </w:r>
      <w:r w:rsidRPr="007B2460">
        <w:rPr>
          <w:rFonts w:ascii="Times New Roman" w:hAnsi="Times New Roman"/>
          <w:sz w:val="24"/>
          <w:szCs w:val="24"/>
        </w:rPr>
        <w:t xml:space="preserve">274) </w:t>
      </w:r>
      <w:r>
        <w:rPr>
          <w:rFonts w:ascii="Times New Roman" w:hAnsi="Times New Roman"/>
          <w:sz w:val="24"/>
          <w:szCs w:val="24"/>
        </w:rPr>
        <w:t xml:space="preserve">uvádí, že </w:t>
      </w:r>
      <w:r w:rsidRPr="007B2460">
        <w:rPr>
          <w:rFonts w:ascii="Times New Roman" w:hAnsi="Times New Roman"/>
          <w:sz w:val="24"/>
          <w:szCs w:val="24"/>
        </w:rPr>
        <w:t xml:space="preserve">by se rozvíjení </w:t>
      </w:r>
      <w:r>
        <w:rPr>
          <w:rFonts w:ascii="Times New Roman" w:hAnsi="Times New Roman"/>
          <w:sz w:val="24"/>
          <w:szCs w:val="24"/>
        </w:rPr>
        <w:t xml:space="preserve">čtenářské </w:t>
      </w:r>
      <w:r w:rsidRPr="007B2460">
        <w:rPr>
          <w:rFonts w:ascii="Times New Roman" w:hAnsi="Times New Roman"/>
          <w:sz w:val="24"/>
          <w:szCs w:val="24"/>
        </w:rPr>
        <w:t>gramotnosti v předškolním věku nemělo dávat do vztahu k</w:t>
      </w:r>
      <w:r>
        <w:rPr>
          <w:rFonts w:ascii="Times New Roman" w:hAnsi="Times New Roman"/>
          <w:sz w:val="24"/>
          <w:szCs w:val="24"/>
        </w:rPr>
        <w:t> </w:t>
      </w:r>
      <w:r w:rsidRPr="007B2460">
        <w:rPr>
          <w:rFonts w:ascii="Times New Roman" w:hAnsi="Times New Roman"/>
          <w:sz w:val="24"/>
          <w:szCs w:val="24"/>
        </w:rPr>
        <w:t>formálnímu učení</w:t>
      </w:r>
      <w:r>
        <w:rPr>
          <w:rFonts w:ascii="Times New Roman" w:hAnsi="Times New Roman"/>
          <w:sz w:val="24"/>
          <w:szCs w:val="24"/>
        </w:rPr>
        <w:t xml:space="preserve"> čtení a psaní. S názorem podporovat zájem dětí o písmo a psanou řeč </w:t>
      </w:r>
      <w:r w:rsidRPr="007B2460">
        <w:rPr>
          <w:rFonts w:ascii="Times New Roman" w:hAnsi="Times New Roman"/>
          <w:sz w:val="24"/>
          <w:szCs w:val="24"/>
        </w:rPr>
        <w:t xml:space="preserve">přirozenými </w:t>
      </w:r>
      <w:r>
        <w:rPr>
          <w:rFonts w:ascii="Times New Roman" w:hAnsi="Times New Roman"/>
          <w:sz w:val="24"/>
          <w:szCs w:val="24"/>
        </w:rPr>
        <w:t xml:space="preserve">způsoby, které vycházejí ze spontánního zájmu dítěte, se ztotožňuje také Křivánek a </w:t>
      </w:r>
      <w:r w:rsidRPr="007B2460">
        <w:rPr>
          <w:rFonts w:ascii="Times New Roman" w:hAnsi="Times New Roman"/>
          <w:sz w:val="24"/>
          <w:szCs w:val="24"/>
        </w:rPr>
        <w:t>Sušická (1985</w:t>
      </w:r>
      <w:r w:rsidRPr="00747B55">
        <w:rPr>
          <w:rFonts w:ascii="Times New Roman" w:hAnsi="Times New Roman"/>
          <w:sz w:val="24"/>
          <w:szCs w:val="24"/>
        </w:rPr>
        <w:t>). Na druhou stranu však nevylučují možnost seznamovat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2460">
        <w:rPr>
          <w:rFonts w:ascii="Times New Roman" w:hAnsi="Times New Roman"/>
          <w:sz w:val="24"/>
          <w:szCs w:val="24"/>
        </w:rPr>
        <w:t xml:space="preserve">děti </w:t>
      </w:r>
      <w:r>
        <w:rPr>
          <w:rFonts w:ascii="Times New Roman" w:hAnsi="Times New Roman"/>
          <w:sz w:val="24"/>
          <w:szCs w:val="24"/>
        </w:rPr>
        <w:t xml:space="preserve">s psanou řečí </w:t>
      </w:r>
      <w:r w:rsidRPr="007B2460">
        <w:rPr>
          <w:rFonts w:ascii="Times New Roman" w:hAnsi="Times New Roman"/>
          <w:sz w:val="24"/>
          <w:szCs w:val="24"/>
        </w:rPr>
        <w:t xml:space="preserve">v mateřské škole </w:t>
      </w:r>
      <w:r>
        <w:rPr>
          <w:rFonts w:ascii="Times New Roman" w:hAnsi="Times New Roman"/>
          <w:sz w:val="24"/>
          <w:szCs w:val="24"/>
        </w:rPr>
        <w:t xml:space="preserve">také </w:t>
      </w:r>
      <w:r w:rsidRPr="007B2460">
        <w:rPr>
          <w:rFonts w:ascii="Times New Roman" w:hAnsi="Times New Roman"/>
          <w:sz w:val="24"/>
          <w:szCs w:val="24"/>
        </w:rPr>
        <w:t>formou ř</w:t>
      </w:r>
      <w:r>
        <w:rPr>
          <w:rFonts w:ascii="Times New Roman" w:hAnsi="Times New Roman"/>
          <w:sz w:val="24"/>
          <w:szCs w:val="24"/>
        </w:rPr>
        <w:t xml:space="preserve">ízeného herního zaměstnání </w:t>
      </w:r>
      <w:r w:rsidRPr="007B2460">
        <w:rPr>
          <w:rFonts w:ascii="Times New Roman" w:hAnsi="Times New Roman"/>
          <w:sz w:val="24"/>
          <w:szCs w:val="24"/>
        </w:rPr>
        <w:t>s písmeny, kdy tyto aktiv</w:t>
      </w:r>
      <w:r>
        <w:rPr>
          <w:rFonts w:ascii="Times New Roman" w:hAnsi="Times New Roman"/>
          <w:sz w:val="24"/>
          <w:szCs w:val="24"/>
        </w:rPr>
        <w:t xml:space="preserve">ity </w:t>
      </w:r>
      <w:r w:rsidRPr="007B2460">
        <w:rPr>
          <w:rFonts w:ascii="Times New Roman" w:hAnsi="Times New Roman"/>
          <w:sz w:val="24"/>
          <w:szCs w:val="24"/>
        </w:rPr>
        <w:t xml:space="preserve">si </w:t>
      </w:r>
      <w:r>
        <w:rPr>
          <w:rFonts w:ascii="Times New Roman" w:hAnsi="Times New Roman"/>
          <w:sz w:val="24"/>
          <w:szCs w:val="24"/>
        </w:rPr>
        <w:t xml:space="preserve">nekladou primárně </w:t>
      </w:r>
      <w:r w:rsidRPr="007B2460">
        <w:rPr>
          <w:rFonts w:ascii="Times New Roman" w:hAnsi="Times New Roman"/>
          <w:sz w:val="24"/>
          <w:szCs w:val="24"/>
        </w:rPr>
        <w:t>za cíl naučit děti číst</w:t>
      </w:r>
      <w:r w:rsidRPr="007B2460">
        <w:rPr>
          <w:rStyle w:val="Znakapoznpodarou"/>
          <w:rFonts w:ascii="Times New Roman" w:hAnsi="Times New Roman"/>
          <w:sz w:val="24"/>
          <w:szCs w:val="24"/>
        </w:rPr>
        <w:footnoteReference w:id="13"/>
      </w:r>
      <w:r w:rsidRPr="007B2460">
        <w:rPr>
          <w:rFonts w:ascii="Times New Roman" w:hAnsi="Times New Roman"/>
          <w:sz w:val="24"/>
          <w:szCs w:val="24"/>
        </w:rPr>
        <w:t xml:space="preserve">. Budeme-li sledovat názory na problematiku </w:t>
      </w:r>
      <w:r>
        <w:rPr>
          <w:rFonts w:ascii="Times New Roman" w:hAnsi="Times New Roman"/>
          <w:sz w:val="24"/>
          <w:szCs w:val="24"/>
        </w:rPr>
        <w:t xml:space="preserve">cíleného </w:t>
      </w:r>
      <w:r w:rsidRPr="007B2460">
        <w:rPr>
          <w:rFonts w:ascii="Times New Roman" w:hAnsi="Times New Roman"/>
          <w:sz w:val="24"/>
          <w:szCs w:val="24"/>
        </w:rPr>
        <w:t>seznamování dětí s písmem v předškolním věku v delším časovém horizontu, zaznamenáme značnou názorovou nejednotnost</w:t>
      </w:r>
      <w:r w:rsidRPr="007B2460">
        <w:rPr>
          <w:rStyle w:val="Znakapoznpodarou"/>
          <w:rFonts w:ascii="Times New Roman" w:hAnsi="Times New Roman"/>
          <w:sz w:val="24"/>
          <w:szCs w:val="24"/>
        </w:rPr>
        <w:footnoteReference w:id="14"/>
      </w:r>
      <w:r w:rsidRPr="007B2460">
        <w:rPr>
          <w:rFonts w:ascii="Times New Roman" w:hAnsi="Times New Roman"/>
          <w:sz w:val="24"/>
          <w:szCs w:val="24"/>
        </w:rPr>
        <w:t>. Na jedné straně se rekrutují názory, které bychom mohli</w:t>
      </w:r>
      <w:r>
        <w:rPr>
          <w:rFonts w:ascii="Times New Roman" w:hAnsi="Times New Roman"/>
          <w:sz w:val="24"/>
          <w:szCs w:val="24"/>
        </w:rPr>
        <w:t xml:space="preserve"> sjednotit v tvrzení, že systematické </w:t>
      </w:r>
      <w:r w:rsidRPr="007B2460">
        <w:rPr>
          <w:rFonts w:ascii="Times New Roman" w:hAnsi="Times New Roman"/>
          <w:sz w:val="24"/>
          <w:szCs w:val="24"/>
        </w:rPr>
        <w:t xml:space="preserve">seznamování </w:t>
      </w:r>
      <w:r>
        <w:rPr>
          <w:rFonts w:ascii="Times New Roman" w:hAnsi="Times New Roman"/>
          <w:sz w:val="24"/>
          <w:szCs w:val="24"/>
        </w:rPr>
        <w:t xml:space="preserve">dětí </w:t>
      </w:r>
      <w:r w:rsidRPr="007B2460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 písmem by nemělo být náplní výchovy a vzdělávání v mateřské škole</w:t>
      </w:r>
      <w:r w:rsidRPr="007B2460">
        <w:rPr>
          <w:rFonts w:ascii="Times New Roman" w:hAnsi="Times New Roman"/>
          <w:sz w:val="24"/>
          <w:szCs w:val="24"/>
        </w:rPr>
        <w:t>. Těmto názorům však mohou</w:t>
      </w:r>
      <w:r>
        <w:rPr>
          <w:rFonts w:ascii="Times New Roman" w:hAnsi="Times New Roman"/>
          <w:sz w:val="24"/>
          <w:szCs w:val="24"/>
        </w:rPr>
        <w:t xml:space="preserve"> oponovat studie a práce některých autorů (např. Pačesová, 1992; Liška</w:t>
      </w:r>
      <w:r w:rsidRPr="007B2460">
        <w:rPr>
          <w:rFonts w:ascii="Times New Roman" w:hAnsi="Times New Roman"/>
          <w:sz w:val="24"/>
          <w:szCs w:val="24"/>
        </w:rPr>
        <w:t xml:space="preserve">, 1967; </w:t>
      </w:r>
      <w:r>
        <w:rPr>
          <w:rFonts w:ascii="Times New Roman" w:hAnsi="Times New Roman"/>
          <w:sz w:val="24"/>
          <w:szCs w:val="24"/>
        </w:rPr>
        <w:t xml:space="preserve">Söderberghová </w:t>
      </w:r>
      <w:r w:rsidRPr="00385E0C">
        <w:rPr>
          <w:rFonts w:ascii="Times New Roman" w:hAnsi="Times New Roman"/>
          <w:sz w:val="24"/>
          <w:szCs w:val="24"/>
        </w:rPr>
        <w:t>1971</w:t>
      </w:r>
      <w:r w:rsidRPr="007B2460">
        <w:rPr>
          <w:rFonts w:ascii="Times New Roman" w:hAnsi="Times New Roman"/>
          <w:sz w:val="24"/>
          <w:szCs w:val="24"/>
        </w:rPr>
        <w:t xml:space="preserve">; Heinová, 1991; Resnicková, Hamptonová, 2009), z nichž vyplývá, že existuje dostatek podložených argumentů pro to, aby bylo možné domnívat se, že </w:t>
      </w:r>
      <w:r w:rsidRPr="00747B55">
        <w:rPr>
          <w:rFonts w:ascii="Times New Roman" w:hAnsi="Times New Roman"/>
          <w:sz w:val="24"/>
          <w:szCs w:val="24"/>
        </w:rPr>
        <w:t>lze</w:t>
      </w:r>
      <w:r w:rsidRPr="007B2460">
        <w:rPr>
          <w:rFonts w:ascii="Times New Roman" w:hAnsi="Times New Roman"/>
          <w:sz w:val="24"/>
          <w:szCs w:val="24"/>
        </w:rPr>
        <w:t xml:space="preserve"> vést dítě v předškol</w:t>
      </w:r>
      <w:r>
        <w:rPr>
          <w:rFonts w:ascii="Times New Roman" w:hAnsi="Times New Roman"/>
          <w:sz w:val="24"/>
          <w:szCs w:val="24"/>
        </w:rPr>
        <w:t xml:space="preserve">ním věku prostřednictvím </w:t>
      </w:r>
      <w:r w:rsidRPr="007B2460">
        <w:rPr>
          <w:rFonts w:ascii="Times New Roman" w:hAnsi="Times New Roman"/>
          <w:sz w:val="24"/>
          <w:szCs w:val="24"/>
        </w:rPr>
        <w:t>zaměřených a systematicky plánovaných aktivit k nabývání znalosti grafických znaků a získávání vhledu do grafického systému. Některé zdroje pak také dokladují spíše pozitivní vliv těchto přístupů v rozvíjení gramotnosti ve školním věku (Heinová, 1991). Jak již bylo naznačeno, jedná se o postupy realizující se převážně hrou, i když v některých postupech lze vysledova</w:t>
      </w:r>
      <w:r>
        <w:rPr>
          <w:rFonts w:ascii="Times New Roman" w:hAnsi="Times New Roman"/>
          <w:sz w:val="24"/>
          <w:szCs w:val="24"/>
        </w:rPr>
        <w:t>t již prvky systematického přístupu</w:t>
      </w:r>
      <w:r w:rsidRPr="007B246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Ve vztahu k </w:t>
      </w:r>
      <w:r w:rsidRPr="00700AA1">
        <w:rPr>
          <w:rFonts w:ascii="Times New Roman" w:hAnsi="Times New Roman"/>
          <w:sz w:val="24"/>
          <w:szCs w:val="24"/>
        </w:rPr>
        <w:t xml:space="preserve">rozvoji gramotnosti v předškolním věku (spíše také v souvislosti pozitivní odezvy na zájem </w:t>
      </w:r>
      <w:r w:rsidRPr="00700AA1">
        <w:rPr>
          <w:rFonts w:ascii="Times New Roman" w:hAnsi="Times New Roman"/>
          <w:sz w:val="24"/>
          <w:szCs w:val="24"/>
        </w:rPr>
        <w:lastRenderedPageBreak/>
        <w:t xml:space="preserve">dítěte o psanou řeč ve smyslu uspokojení zájmu dítěte o grafický systém a jeho funkci) je zmiňován v některých teoretických zdrojích význam tzv. senzitivní fáze pro učení se číst a psát jako jedné z individuálních vývojových potřeb </w:t>
      </w:r>
      <w:r>
        <w:rPr>
          <w:rFonts w:ascii="Times New Roman" w:hAnsi="Times New Roman"/>
          <w:sz w:val="24"/>
          <w:szCs w:val="24"/>
        </w:rPr>
        <w:t xml:space="preserve">dítěte. </w:t>
      </w:r>
      <w:r w:rsidRPr="00747B55">
        <w:rPr>
          <w:rFonts w:ascii="Times New Roman" w:hAnsi="Times New Roman"/>
          <w:sz w:val="24"/>
          <w:szCs w:val="24"/>
        </w:rPr>
        <w:t>Podle Heinové (1991, s. 12–13) se tato fáze objevuje u většiny dětí již v předškolním věku mezi 4.–</w:t>
      </w:r>
      <w:r>
        <w:rPr>
          <w:rFonts w:ascii="Times New Roman" w:hAnsi="Times New Roman"/>
          <w:sz w:val="24"/>
          <w:szCs w:val="24"/>
        </w:rPr>
        <w:t xml:space="preserve">5. </w:t>
      </w:r>
      <w:r w:rsidRPr="00747B55">
        <w:rPr>
          <w:rFonts w:ascii="Times New Roman" w:hAnsi="Times New Roman"/>
          <w:sz w:val="24"/>
          <w:szCs w:val="24"/>
        </w:rPr>
        <w:t>rokem věku dítěte. Heinová  (1991, s. 13) upozorňuje na možná úskalí nevyužití této fáze a negativní odraz na vývoji čtenářských kompetencí dítěte v pozdějším věku.</w:t>
      </w:r>
      <w:r w:rsidRPr="00700AA1">
        <w:rPr>
          <w:rFonts w:ascii="Times New Roman" w:hAnsi="Times New Roman"/>
          <w:sz w:val="24"/>
          <w:szCs w:val="24"/>
        </w:rPr>
        <w:t xml:space="preserve"> </w:t>
      </w:r>
    </w:p>
    <w:p w:rsidR="004E7209" w:rsidRPr="007B2460" w:rsidRDefault="004E7209" w:rsidP="006779C5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7B2460">
        <w:rPr>
          <w:rFonts w:ascii="Times New Roman" w:hAnsi="Times New Roman"/>
          <w:sz w:val="24"/>
          <w:szCs w:val="24"/>
        </w:rPr>
        <w:t xml:space="preserve">Zaměříme-li se na konkrétní příklady systematické výuky čtení a psaní v předškolním věku (ze zahraničních pramenů), mohli bychom za jeden z pokusů rané alfabetizace považovat výsledky pokusů aplikace metody učení čtení slovních celků pomocí karet se slovy </w:t>
      </w:r>
      <w:r w:rsidRPr="00747B55">
        <w:rPr>
          <w:rFonts w:ascii="Times New Roman" w:hAnsi="Times New Roman"/>
          <w:sz w:val="24"/>
          <w:szCs w:val="24"/>
        </w:rPr>
        <w:t>podle Glenna Domana u dětí v raném období věku (Pačesová, 1992). Jak uvádí Pačesová (1992, s. 103–104), Doman (1964) považoval za ideální věk pro učení čtení věk dva roky a doporučoval, aby se dítě učilo číst současně s osvojováním mluveného jazyka. Přes všechny výhrady ze stran široké veřejnosti si našla tato metoda ve Švédsku své příznivce také v řadách badatelů zabývajících se osvojováním jazyka. Přínosem tohoto přístupu bylo, že se začala dále prověřovat možnost nácviku čtení slov jako slovních celků u dětí v předškolním věku (srov. Goodman, 1985). Jak dále uvádí Pačesová (1992), pokusy s Domanovou metodou dělala např. Söderbergová (1971; 1986), která prokázala efektivnost</w:t>
      </w:r>
      <w:r w:rsidRPr="007B2460">
        <w:rPr>
          <w:rFonts w:ascii="Times New Roman" w:hAnsi="Times New Roman"/>
          <w:sz w:val="24"/>
          <w:szCs w:val="24"/>
        </w:rPr>
        <w:t xml:space="preserve"> takto pojatého výzkumu v četných teoretických studiích, v praxi </w:t>
      </w:r>
      <w:r>
        <w:rPr>
          <w:rFonts w:ascii="Times New Roman" w:hAnsi="Times New Roman"/>
          <w:sz w:val="24"/>
          <w:szCs w:val="24"/>
        </w:rPr>
        <w:t xml:space="preserve">pak také </w:t>
      </w:r>
      <w:r w:rsidRPr="007B2460">
        <w:rPr>
          <w:rFonts w:ascii="Times New Roman" w:hAnsi="Times New Roman"/>
          <w:sz w:val="24"/>
          <w:szCs w:val="24"/>
        </w:rPr>
        <w:t>skutečností, že její dcera pod jejím vedením zvládla čtení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15"/>
      </w:r>
      <w:r w:rsidRPr="007B2460">
        <w:rPr>
          <w:rFonts w:ascii="Times New Roman" w:hAnsi="Times New Roman"/>
          <w:sz w:val="24"/>
          <w:szCs w:val="24"/>
        </w:rPr>
        <w:t xml:space="preserve"> ve věku dva a</w:t>
      </w:r>
      <w:r>
        <w:rPr>
          <w:rFonts w:ascii="Times New Roman" w:hAnsi="Times New Roman"/>
          <w:sz w:val="24"/>
          <w:szCs w:val="24"/>
        </w:rPr>
        <w:t xml:space="preserve"> půl roku.</w:t>
      </w:r>
      <w:r>
        <w:rPr>
          <w:rFonts w:ascii="Times New Roman" w:hAnsi="Times New Roman"/>
          <w:color w:val="FF0000"/>
          <w:sz w:val="18"/>
          <w:szCs w:val="18"/>
        </w:rPr>
        <w:t xml:space="preserve"> </w:t>
      </w:r>
      <w:r w:rsidRPr="007B2460">
        <w:rPr>
          <w:rFonts w:ascii="Times New Roman" w:hAnsi="Times New Roman"/>
          <w:sz w:val="24"/>
          <w:szCs w:val="24"/>
        </w:rPr>
        <w:t>Na základě získaných výsledků Söderbergová vyvozuje závěr, že kreativní přístup dítěte a jeho zasazení do prostředí aktivní gramotnosti vyúsťují ve skutečnost, že dítě zvládá jazyk psaný stejným procesem jako jazyk mluvený, čímž se potvrzuje předpoklad postupu, který doporučuje ve své metodě učení</w:t>
      </w:r>
      <w:r>
        <w:rPr>
          <w:rFonts w:ascii="Times New Roman" w:hAnsi="Times New Roman"/>
          <w:sz w:val="24"/>
          <w:szCs w:val="24"/>
        </w:rPr>
        <w:t xml:space="preserve"> Doman (podle Pačesové 1992, s. </w:t>
      </w:r>
      <w:r w:rsidRPr="007B2460">
        <w:rPr>
          <w:rFonts w:ascii="Times New Roman" w:hAnsi="Times New Roman"/>
          <w:sz w:val="24"/>
          <w:szCs w:val="24"/>
        </w:rPr>
        <w:t>105</w:t>
      </w:r>
      <w:r w:rsidRPr="00F97D82">
        <w:rPr>
          <w:rFonts w:ascii="Times New Roman" w:hAnsi="Times New Roman"/>
          <w:sz w:val="24"/>
          <w:szCs w:val="24"/>
          <w:highlight w:val="cyan"/>
        </w:rPr>
        <w:softHyphen/>
      </w:r>
      <w:r w:rsidRPr="007B2460">
        <w:rPr>
          <w:rFonts w:ascii="Times New Roman" w:hAnsi="Times New Roman"/>
          <w:sz w:val="24"/>
          <w:szCs w:val="24"/>
        </w:rPr>
        <w:t>106).</w:t>
      </w:r>
    </w:p>
    <w:p w:rsidR="004E7209" w:rsidRDefault="004E7209" w:rsidP="00F7371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2460">
        <w:rPr>
          <w:rFonts w:ascii="Times New Roman" w:hAnsi="Times New Roman"/>
          <w:sz w:val="24"/>
          <w:szCs w:val="24"/>
        </w:rPr>
        <w:t>Názor, že lze učit děti číst již v raném dětství, vyplynul z pokusů, kter</w:t>
      </w:r>
      <w:r>
        <w:rPr>
          <w:rFonts w:ascii="Times New Roman" w:hAnsi="Times New Roman"/>
          <w:sz w:val="24"/>
          <w:szCs w:val="24"/>
        </w:rPr>
        <w:t>é v 60. a 70. letech prováděl u </w:t>
      </w:r>
      <w:r w:rsidRPr="007B2460">
        <w:rPr>
          <w:rFonts w:ascii="Times New Roman" w:hAnsi="Times New Roman"/>
          <w:sz w:val="24"/>
          <w:szCs w:val="24"/>
        </w:rPr>
        <w:t xml:space="preserve">dvou a tříletých dětí </w:t>
      </w:r>
      <w:r>
        <w:rPr>
          <w:rFonts w:ascii="Times New Roman" w:hAnsi="Times New Roman"/>
          <w:sz w:val="24"/>
          <w:szCs w:val="24"/>
        </w:rPr>
        <w:t>Josef Liška (Pačesová, 1992, s. </w:t>
      </w:r>
      <w:r w:rsidRPr="007B2460">
        <w:rPr>
          <w:rFonts w:ascii="Times New Roman" w:hAnsi="Times New Roman"/>
          <w:sz w:val="24"/>
          <w:szCs w:val="24"/>
        </w:rPr>
        <w:t>106). Přestože dosahoval kladných výsledků, nečinil si nároky, aby jeho experiment byl u</w:t>
      </w:r>
      <w:r>
        <w:rPr>
          <w:rFonts w:ascii="Times New Roman" w:hAnsi="Times New Roman"/>
          <w:sz w:val="24"/>
          <w:szCs w:val="24"/>
        </w:rPr>
        <w:t xml:space="preserve">platněn bezprostředně v praxi. Stejně jako Doman </w:t>
      </w:r>
      <w:r w:rsidRPr="00747B55">
        <w:rPr>
          <w:rFonts w:ascii="Times New Roman" w:hAnsi="Times New Roman"/>
          <w:sz w:val="24"/>
          <w:szCs w:val="24"/>
        </w:rPr>
        <w:t xml:space="preserve">věřil, že u dvou a tříletých dětí se osvojování čtení v předškolním věku dříve či později spontánně prosadí a využije se tak schopnosti dětí osvojit si jazyk, a to jak v mluvené, tak v psané formě v době, kdy k tomu mají nejoptimálnější předpoklady, tj. podle Lišky ve věku tří let (Pačesová, 1992). V souvislosti s využitím vývojového potenciálu v optimálním věku dítěte ve vztahu k senzitivní fázi popisuje Heinová </w:t>
      </w:r>
      <w:r w:rsidRPr="00747B55">
        <w:rPr>
          <w:rFonts w:ascii="Times New Roman" w:hAnsi="Times New Roman"/>
          <w:sz w:val="24"/>
          <w:szCs w:val="24"/>
        </w:rPr>
        <w:lastRenderedPageBreak/>
        <w:t>(1991, s. 12–13)</w:t>
      </w:r>
      <w:r w:rsidRPr="00747B55">
        <w:rPr>
          <w:rStyle w:val="Znakapoznpodarou"/>
          <w:rFonts w:ascii="Times New Roman" w:hAnsi="Times New Roman"/>
          <w:sz w:val="24"/>
          <w:szCs w:val="24"/>
        </w:rPr>
        <w:footnoteReference w:id="16"/>
      </w:r>
      <w:r w:rsidRPr="00747B55">
        <w:rPr>
          <w:rFonts w:ascii="Times New Roman" w:hAnsi="Times New Roman"/>
          <w:sz w:val="24"/>
          <w:szCs w:val="24"/>
        </w:rPr>
        <w:t xml:space="preserve"> konkrétní případ chlapce, který o čtení projevil výrazný zájem v pěti letech, ovšem rodiče tento zájem z důvodu obav možných problémů na počátku školní docházky</w:t>
      </w:r>
      <w:r w:rsidRPr="007B2460">
        <w:rPr>
          <w:rFonts w:ascii="Times New Roman" w:hAnsi="Times New Roman"/>
          <w:sz w:val="24"/>
          <w:szCs w:val="24"/>
        </w:rPr>
        <w:t xml:space="preserve"> tlumil</w:t>
      </w:r>
      <w:r>
        <w:rPr>
          <w:rFonts w:ascii="Times New Roman" w:hAnsi="Times New Roman"/>
          <w:sz w:val="24"/>
          <w:szCs w:val="24"/>
        </w:rPr>
        <w:t>i a chlapce odmítli učit číst</w:t>
      </w:r>
      <w:r w:rsidRPr="007B2460">
        <w:rPr>
          <w:rFonts w:ascii="Times New Roman" w:hAnsi="Times New Roman"/>
          <w:sz w:val="24"/>
          <w:szCs w:val="24"/>
        </w:rPr>
        <w:t>. Tento chlapec nastoupil školní docházku až v osmi letech a vykazoval následně nejen problémy ve čtení, ale také v celkovém chování, přístupu a motivaci k učení.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E7209" w:rsidRPr="00F73711" w:rsidRDefault="004E7209" w:rsidP="00F7371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E7209" w:rsidRPr="00A21DCD" w:rsidRDefault="004E7209" w:rsidP="00A21D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</w:t>
      </w:r>
      <w:r w:rsidRPr="00A21DCD">
        <w:rPr>
          <w:rFonts w:ascii="Arial" w:hAnsi="Arial" w:cs="Arial"/>
          <w:sz w:val="24"/>
          <w:szCs w:val="24"/>
        </w:rPr>
        <w:t xml:space="preserve">Současné trendy v zaměřenosti předškolní výchovy ve vztahu k rozvíjení pregramotnosti </w:t>
      </w:r>
    </w:p>
    <w:p w:rsidR="004E7209" w:rsidRDefault="004E7209" w:rsidP="00A21DCD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747B55">
        <w:rPr>
          <w:rFonts w:ascii="Times New Roman" w:hAnsi="Times New Roman"/>
          <w:sz w:val="24"/>
          <w:szCs w:val="24"/>
        </w:rPr>
        <w:t>Současné trendy k rozvoji pregramotnosti ve vztahu k zaměřenosti předškolní přípravy lze sledovat také z analýz kurikulárních dokumentů evropských zemí</w:t>
      </w:r>
      <w:r w:rsidRPr="00747B55">
        <w:rPr>
          <w:rStyle w:val="Znakapoznpodarou"/>
          <w:rFonts w:ascii="Times New Roman" w:hAnsi="Times New Roman"/>
          <w:sz w:val="24"/>
          <w:szCs w:val="24"/>
        </w:rPr>
        <w:footnoteReference w:id="17"/>
      </w:r>
      <w:r w:rsidRPr="00747B55">
        <w:rPr>
          <w:rFonts w:ascii="Times New Roman" w:hAnsi="Times New Roman"/>
          <w:sz w:val="24"/>
          <w:szCs w:val="24"/>
        </w:rPr>
        <w:t>. Jak uvádí ve své studii Wildová (2012, s. 12–13), byly vysledovány rozdíly mezi jednotlivými státy např. ve formě konkretizace cílů předškolní přípravy, a to také z hlediska zahrnutí učení se základům čtení v rámci předškolní přípravy. Různé pojetí se ukázalo také v konkretizaci výukových cílů, kdy v některých státech jsou tyto cíle vymezené spíše obecně (Řecko, Španělsko) oproti např. Velké Británii, kde jsou cíle preprimárního vzdělávání konkretizovány a stanoveny v rámci dvouletého cyklu (tři až pět let věku dítěte). Předškolní systematická výuka čtení se však v kurikulárních dokumentech evropských států objevuje spíše výjimečně</w:t>
      </w:r>
      <w:r w:rsidRPr="00747B55">
        <w:rPr>
          <w:rStyle w:val="Znakapoznpodarou"/>
          <w:rFonts w:ascii="Times New Roman" w:hAnsi="Times New Roman"/>
          <w:sz w:val="24"/>
          <w:szCs w:val="24"/>
        </w:rPr>
        <w:footnoteReference w:id="18"/>
      </w:r>
      <w:r w:rsidRPr="00747B55">
        <w:rPr>
          <w:rFonts w:ascii="Times New Roman" w:hAnsi="Times New Roman"/>
          <w:sz w:val="24"/>
          <w:szCs w:val="24"/>
        </w:rPr>
        <w:t>.</w:t>
      </w:r>
      <w:r w:rsidRPr="007B2460">
        <w:rPr>
          <w:rFonts w:ascii="Times New Roman" w:hAnsi="Times New Roman"/>
          <w:sz w:val="24"/>
          <w:szCs w:val="24"/>
        </w:rPr>
        <w:t xml:space="preserve">  </w:t>
      </w:r>
    </w:p>
    <w:p w:rsidR="004E7209" w:rsidRPr="007B2460" w:rsidRDefault="004E7209" w:rsidP="00445E0A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747B55">
        <w:rPr>
          <w:rFonts w:ascii="Times New Roman" w:hAnsi="Times New Roman"/>
          <w:sz w:val="24"/>
          <w:szCs w:val="24"/>
        </w:rPr>
        <w:t>Budeme-li se problematikou zaměřenosti předškolní přípravy zabývat také ve vztahu k výsledkům ve čtení, jež dosahují žáci různých evropských států v rámci mezinárodních srovnávacích výzkumů</w:t>
      </w:r>
      <w:r w:rsidRPr="00747B55">
        <w:rPr>
          <w:rStyle w:val="Znakapoznpodarou"/>
          <w:rFonts w:ascii="Times New Roman" w:hAnsi="Times New Roman"/>
          <w:sz w:val="24"/>
          <w:szCs w:val="24"/>
        </w:rPr>
        <w:footnoteReference w:id="19"/>
      </w:r>
      <w:r w:rsidRPr="00747B55">
        <w:rPr>
          <w:rFonts w:ascii="Times New Roman" w:hAnsi="Times New Roman"/>
          <w:sz w:val="24"/>
          <w:szCs w:val="24"/>
        </w:rPr>
        <w:t xml:space="preserve"> v delším časovém horizontu, některé z výsledků by mohly vést také k úvahám o možnosti existence souvislosti mezi zaměřeností předškolní přípravy a pozdější úspěšností dětí v oblasti čtenářské gramotnosti. Výsledky mezinárodních srovnávacích výzkumů zaměřených na zjišťování úrovně čtenářské gramotnosti žáků v primárním vzdělávání pak poukazují spíše na skutečnost, že v zemích, kde se děti setkávají se základy čtení dříve (např. ve Velké Británii se děti již v předškolních zařízeních učí základům čtení</w:t>
      </w:r>
      <w:r w:rsidRPr="00747B55">
        <w:rPr>
          <w:rStyle w:val="Znakapoznpodarou"/>
          <w:rFonts w:ascii="Times New Roman" w:hAnsi="Times New Roman"/>
          <w:sz w:val="24"/>
          <w:szCs w:val="24"/>
        </w:rPr>
        <w:footnoteReference w:id="20"/>
      </w:r>
      <w:r w:rsidRPr="00747B55">
        <w:rPr>
          <w:rFonts w:ascii="Times New Roman" w:hAnsi="Times New Roman"/>
          <w:sz w:val="24"/>
          <w:szCs w:val="24"/>
        </w:rPr>
        <w:t xml:space="preserve">), </w:t>
      </w:r>
      <w:r w:rsidRPr="00747B55">
        <w:rPr>
          <w:rFonts w:ascii="Times New Roman" w:hAnsi="Times New Roman"/>
          <w:sz w:val="24"/>
          <w:szCs w:val="24"/>
        </w:rPr>
        <w:lastRenderedPageBreak/>
        <w:t>je počet dětí, které selhávají ve čtení, menší než tam, kde přicházejí do styku s písmem až později. Jako příklad odrazu pozitivního působení proměny pojetí předškolní přípravy na rozvoj čtenářských kompetencí žáků uvádějí shodně Pačesová (1992) a Heinová (1991) situaci v 90. letech ve Švédsku. Podle Pačesové (1992, s. 103–104) ve Švédsku na konci 60. let panoval názor, který byl proti systematickému učení čtení dětí v předškolním věku. V tomto období ve Švédsku selhávalo ve čtení zhruba 30 % žáků (Heinová 1991, s. 15). Přes dlouholetou tradici přistupovat ke čtení až v sedmi letech věku se v posledních desetiletích</w:t>
      </w:r>
      <w:r w:rsidRPr="007B2460">
        <w:rPr>
          <w:rFonts w:ascii="Times New Roman" w:hAnsi="Times New Roman"/>
          <w:sz w:val="24"/>
          <w:szCs w:val="24"/>
        </w:rPr>
        <w:t xml:space="preserve"> </w:t>
      </w:r>
      <w:r w:rsidRPr="00747B55">
        <w:rPr>
          <w:rFonts w:ascii="Times New Roman" w:hAnsi="Times New Roman"/>
          <w:sz w:val="24"/>
          <w:szCs w:val="24"/>
        </w:rPr>
        <w:t>(Heinová, 1991) ve Švédsku prosazují pokusy o čtení v předškolním věku, což může být hypoteticky také jedním z důvodů úspěšnosti Švédska v mezinárodních srovnávacích výzkumech zaměřených na zjišťování úrovně čtenářské gramotnosti</w:t>
      </w:r>
      <w:r w:rsidRPr="00747B55">
        <w:rPr>
          <w:rStyle w:val="Znakapoznpodarou"/>
          <w:rFonts w:ascii="Times New Roman" w:hAnsi="Times New Roman"/>
          <w:sz w:val="24"/>
          <w:szCs w:val="24"/>
        </w:rPr>
        <w:footnoteReference w:id="21"/>
      </w:r>
      <w:r w:rsidRPr="00747B55">
        <w:rPr>
          <w:rFonts w:ascii="Times New Roman" w:hAnsi="Times New Roman"/>
          <w:sz w:val="24"/>
          <w:szCs w:val="24"/>
        </w:rPr>
        <w:t>. Zápotočná (2003) vztahuje výsledky švédských žáků také k vynikající úrovni elementárního školství, které se ve Švédsku v posledním desetiletí stává otevřeným školským systémem – ve smyslu otevřenosti všemu novému, pozitivnímu a užitečnému, co je v počátečním vzdělávání ve světě k dispozici.</w:t>
      </w:r>
      <w:r w:rsidRPr="007B2460">
        <w:rPr>
          <w:rFonts w:ascii="Times New Roman" w:hAnsi="Times New Roman"/>
          <w:sz w:val="24"/>
          <w:szCs w:val="24"/>
        </w:rPr>
        <w:t xml:space="preserve"> </w:t>
      </w:r>
    </w:p>
    <w:p w:rsidR="004E7209" w:rsidRPr="00747B55" w:rsidRDefault="004E7209" w:rsidP="00385E0C">
      <w:pPr>
        <w:pStyle w:val="DSP-Text"/>
        <w:spacing w:line="360" w:lineRule="auto"/>
      </w:pPr>
      <w:r w:rsidRPr="00747B55">
        <w:t xml:space="preserve">V souvislosti s přístupem k rané alfabetizaci popisuje situaci z prostředí mateřských škol s tradičním výukovým programem v Německu také Ulichová (2001). Přestože Ulichová (2001, s. 138–139) zdůrazňuje prokazatelný zájem dětí v předškolním věku o čtení a psaní, označuje současně aktuální přístup k jazykové výuce v Německu (na konci 90. let 20. století) jako přístup naprosté absence přímého kontaktu s psanou řečí. Podle Ulichové (2001) se podpora rozvíjení jazykových kompetencí dětí děje spíše formou vyprávění a předčítání, s důrazem na porozumění a následné interpretace sdělované informace a podpory zájmu o informace. Příčinu určitého despektu k zaměstnáním s písmem v předškolním věku vidí Ulichová (2001) v tom, že je často, poněkud rozpačitě, asociováno s raným tréninkem čtení, který byl v Německu populární v 60. letech 20. století. Také výzkumy zaměřené na rané čtenáře, realizované Heinovou (1991) v Německu, ukázaly na skupinu dětí, které projevovaly zájem o učení se číst již v předškolním věku, přičemž jejich aktuální potřeby zůstaly bez adekvátní odezvy. Mezi těmito dětmi byly vysledovány děti, které se později v průběhu školní docházky potýkaly s problémy naučit se dobře číst (Heinová, 1991).  </w:t>
      </w:r>
    </w:p>
    <w:p w:rsidR="004E7209" w:rsidRPr="007B2460" w:rsidRDefault="004E7209" w:rsidP="00A21DCD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747B55">
        <w:rPr>
          <w:rFonts w:ascii="Times New Roman" w:hAnsi="Times New Roman"/>
          <w:sz w:val="24"/>
          <w:szCs w:val="24"/>
        </w:rPr>
        <w:t xml:space="preserve">V České republice jsou požadavky, podmínky a pravidla institucionálního vzdělávání dětí předškolního věku vymezeny Rámcovým vzdělávacím programem pro předškolní </w:t>
      </w:r>
      <w:r w:rsidRPr="00747B55">
        <w:rPr>
          <w:rFonts w:ascii="Times New Roman" w:hAnsi="Times New Roman"/>
          <w:sz w:val="24"/>
          <w:szCs w:val="24"/>
        </w:rPr>
        <w:lastRenderedPageBreak/>
        <w:t>vzdělávání (RVP PV)</w:t>
      </w:r>
      <w:r w:rsidRPr="00747B55">
        <w:rPr>
          <w:rStyle w:val="Znakapoznpodarou"/>
          <w:rFonts w:ascii="Times New Roman" w:hAnsi="Times New Roman"/>
          <w:sz w:val="24"/>
          <w:szCs w:val="24"/>
        </w:rPr>
        <w:footnoteReference w:id="22"/>
      </w:r>
      <w:r w:rsidRPr="00747B55">
        <w:rPr>
          <w:rFonts w:ascii="Times New Roman" w:hAnsi="Times New Roman"/>
          <w:sz w:val="24"/>
          <w:szCs w:val="24"/>
        </w:rPr>
        <w:t>. Na základě materiálů zabývajících se komparací zaměřenosti dokumentů vybraných evropských států (Wildová, 2012) bychom mohli říci, že pojetí RVP PV (2005) koresponduje s hlavní linií, jež byla evidována u většiny státních dokumentů vybraných evropských států, tj. v zaměřenosti výchovy a vzdělávání na tzv. předškolní přípravu pro pozdější systematický rozvoj počáteční čtenářské gramotnosti, a to ve smyslu</w:t>
      </w:r>
      <w:r w:rsidRPr="007B2460">
        <w:rPr>
          <w:rFonts w:ascii="Times New Roman" w:hAnsi="Times New Roman"/>
          <w:sz w:val="24"/>
          <w:szCs w:val="24"/>
        </w:rPr>
        <w:t xml:space="preserve"> rozvoje vyjadřování, komunikace, poznávacích procesů a psychických funkcí. Tento program </w:t>
      </w:r>
      <w:r w:rsidRPr="00747B55">
        <w:rPr>
          <w:rFonts w:ascii="Times New Roman" w:hAnsi="Times New Roman"/>
          <w:sz w:val="24"/>
          <w:szCs w:val="24"/>
        </w:rPr>
        <w:t>svojí koncepcí navazuje na osobnostně orientovaný model předškolní výchovy (Opravilová, 2001) a některé další inovativní programy předškolní výchovy, tzn., že koresponduje s individualizovaným, osobnostně přirozeným rozvojem dítěte, přičemž zdůrazňuje především význam vytváření podnětného prostředí</w:t>
      </w:r>
      <w:r w:rsidRPr="00747B55">
        <w:rPr>
          <w:rStyle w:val="Znakapoznpodarou"/>
          <w:rFonts w:ascii="Times New Roman" w:hAnsi="Times New Roman"/>
          <w:sz w:val="24"/>
          <w:szCs w:val="24"/>
        </w:rPr>
        <w:footnoteReference w:id="23"/>
      </w:r>
      <w:r w:rsidRPr="00747B55">
        <w:rPr>
          <w:rFonts w:ascii="Times New Roman" w:hAnsi="Times New Roman"/>
          <w:sz w:val="24"/>
          <w:szCs w:val="24"/>
        </w:rPr>
        <w:t xml:space="preserve"> (Wildová, 2005a). Přístup a pojetí takto (obecně) vymezené koncepce se však může odlišovat v přístupech aplikovaných v předškolním vzdělávání v rámci vzdělávacích programů označovaných jako tradiční a jako inovativní</w:t>
      </w:r>
      <w:r w:rsidRPr="00747B55">
        <w:rPr>
          <w:rStyle w:val="Znakapoznpodarou"/>
          <w:rFonts w:ascii="Times New Roman" w:hAnsi="Times New Roman"/>
          <w:sz w:val="24"/>
          <w:szCs w:val="24"/>
        </w:rPr>
        <w:footnoteReference w:id="24"/>
      </w:r>
      <w:r w:rsidRPr="00747B55">
        <w:rPr>
          <w:rFonts w:ascii="Times New Roman" w:hAnsi="Times New Roman"/>
          <w:sz w:val="24"/>
          <w:szCs w:val="24"/>
        </w:rPr>
        <w:t>.</w:t>
      </w:r>
      <w:r w:rsidRPr="007B2460">
        <w:rPr>
          <w:rFonts w:ascii="Times New Roman" w:hAnsi="Times New Roman"/>
          <w:sz w:val="24"/>
          <w:szCs w:val="24"/>
        </w:rPr>
        <w:t xml:space="preserve"> </w:t>
      </w:r>
    </w:p>
    <w:p w:rsidR="004E7209" w:rsidRPr="007B2460" w:rsidRDefault="004E7209" w:rsidP="00A21DCD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7B2460">
        <w:rPr>
          <w:rFonts w:ascii="Times New Roman" w:hAnsi="Times New Roman"/>
          <w:sz w:val="24"/>
          <w:szCs w:val="24"/>
        </w:rPr>
        <w:t>Nový pohled na možnosti sledování a hodnocení úrovně rozvoje čtenářských dovedností a kompetencí v předškolním věku přinášejí tzv. „vývojová kontinua pro čtení a čtenářství“</w:t>
      </w:r>
      <w:r w:rsidRPr="007B2460">
        <w:rPr>
          <w:rStyle w:val="Znakapoznpodarou"/>
          <w:rFonts w:ascii="Times New Roman" w:hAnsi="Times New Roman"/>
          <w:sz w:val="24"/>
          <w:szCs w:val="24"/>
        </w:rPr>
        <w:footnoteReference w:id="25"/>
      </w:r>
      <w:r w:rsidRPr="007B2460">
        <w:rPr>
          <w:rFonts w:ascii="Times New Roman" w:hAnsi="Times New Roman"/>
          <w:sz w:val="24"/>
          <w:szCs w:val="24"/>
        </w:rPr>
        <w:t>, jež se v anglofonních zemích stávají součástí kurikulárních dokumentů (Košťálová, 2010; Kratochvílová, 2012). Jak uvádí Kratochvílová (2012) s přímým odkazem k australskému vývojovému kontinuu, tento evaluační a diagnostický nástroj poskytuje nejen učiteli, ale také rodičům přehled o aktuálních dovednostech dítěte a vymezuje také oblasti, cíle a obsahy dalšího směřování výchovy a vzdělávání</w:t>
      </w:r>
      <w:r>
        <w:rPr>
          <w:rFonts w:ascii="Times New Roman" w:hAnsi="Times New Roman"/>
          <w:sz w:val="24"/>
          <w:szCs w:val="24"/>
        </w:rPr>
        <w:t>,</w:t>
      </w:r>
      <w:r w:rsidRPr="007B2460">
        <w:rPr>
          <w:rFonts w:ascii="Times New Roman" w:hAnsi="Times New Roman"/>
          <w:sz w:val="24"/>
          <w:szCs w:val="24"/>
        </w:rPr>
        <w:t xml:space="preserve"> pokrývající všechny</w:t>
      </w:r>
      <w:r>
        <w:rPr>
          <w:rFonts w:ascii="Times New Roman" w:hAnsi="Times New Roman"/>
          <w:sz w:val="24"/>
          <w:szCs w:val="24"/>
        </w:rPr>
        <w:t xml:space="preserve"> roviny čtenářské gramotnosti. </w:t>
      </w:r>
    </w:p>
    <w:p w:rsidR="004E7209" w:rsidRDefault="004E7209" w:rsidP="00E41AE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E7209" w:rsidRPr="00E41AE3" w:rsidRDefault="004E7209" w:rsidP="00A21DCD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E41AE3">
        <w:rPr>
          <w:rFonts w:ascii="Arial" w:hAnsi="Arial" w:cs="Arial"/>
          <w:b/>
          <w:sz w:val="24"/>
          <w:szCs w:val="24"/>
        </w:rPr>
        <w:t>Závěr</w:t>
      </w:r>
    </w:p>
    <w:p w:rsidR="004E7209" w:rsidRPr="00747B55" w:rsidRDefault="004E7209" w:rsidP="00385E0C">
      <w:pPr>
        <w:pStyle w:val="DSP-Text"/>
        <w:spacing w:line="360" w:lineRule="auto"/>
      </w:pPr>
      <w:r w:rsidRPr="00747B55">
        <w:t>Shrneme-li problematiku, současné trendy zaměřenosti předškolní výchovy směřují spíše k podpoře přirozeného (spontánního) rozvoje všech složek gramotnostních dovedností dítěte, a to ve vztahu ke komplexnímu a vyváženému rozvoji celé osobnosti dítěte, kdy je dítě seznamováno s vnějším světem prostřednictvím rozličného spektra činností vycházejících také z přirozených životních situací.</w:t>
      </w:r>
    </w:p>
    <w:p w:rsidR="004E7209" w:rsidRDefault="004E7209" w:rsidP="007B6789">
      <w:pPr>
        <w:pStyle w:val="DSP-Text"/>
        <w:spacing w:line="360" w:lineRule="auto"/>
      </w:pPr>
      <w:r w:rsidRPr="00747B55">
        <w:lastRenderedPageBreak/>
        <w:t xml:space="preserve"> Otevřenou otázkou však nadále zůstává, do jaké míry</w:t>
      </w:r>
      <w:r w:rsidRPr="00747B55">
        <w:rPr>
          <w:rStyle w:val="Znakapoznpodarou"/>
        </w:rPr>
        <w:footnoteReference w:id="26"/>
      </w:r>
      <w:r w:rsidRPr="00747B55">
        <w:t xml:space="preserve"> a současně jakými způsoby</w:t>
      </w:r>
      <w:r>
        <w:t xml:space="preserve"> </w:t>
      </w:r>
      <w:r w:rsidRPr="007B2460">
        <w:t>seznamovat děti se systémem a funkcí psané řeči v předškolním vě</w:t>
      </w:r>
      <w:r>
        <w:t>ku, a to také z hlediska charakteru těchto přístupů</w:t>
      </w:r>
      <w:r w:rsidRPr="007B2460">
        <w:t xml:space="preserve">. Jak vyplývá z analýzy teoretických zdrojů, volba těchto přístupů by měla respektovat </w:t>
      </w:r>
      <w:r>
        <w:t xml:space="preserve">především </w:t>
      </w:r>
      <w:r w:rsidRPr="007B2460">
        <w:t>individualitu dítěte, tj. vycházet z</w:t>
      </w:r>
      <w:r>
        <w:t> jeho aktuálních potřeb a zájmů</w:t>
      </w:r>
      <w:r w:rsidRPr="007B2460">
        <w:t>. Je zřejmé, že jednou z</w:t>
      </w:r>
      <w:r>
        <w:t> důležitých podmínek bude dostatečně pestrá nabídka</w:t>
      </w:r>
      <w:r w:rsidRPr="007B2460">
        <w:t xml:space="preserve"> </w:t>
      </w:r>
      <w:r w:rsidRPr="00747B55">
        <w:t>adekvátních a přiměřených podnětů a činností</w:t>
      </w:r>
      <w:r w:rsidRPr="00747B55">
        <w:rPr>
          <w:rStyle w:val="Znakapoznpodarou"/>
        </w:rPr>
        <w:footnoteReference w:id="27"/>
      </w:r>
      <w:r w:rsidRPr="00747B55">
        <w:t>, kdy je dítěti umožněn přímý kontakt s tištěnými materiály různého charakteru a různých žánrů</w:t>
      </w:r>
      <w:r w:rsidRPr="00747B55">
        <w:rPr>
          <w:rStyle w:val="Znakapoznpodarou"/>
        </w:rPr>
        <w:footnoteReference w:id="28"/>
      </w:r>
      <w:r w:rsidRPr="00747B55">
        <w:t>, dána možnost vlastních pokusů s písmem a psanou řečí, přirozeného objevování principu i funkce psané řeči a také možnost konfrontace se čtenářským a písařským chováním dospělých, také v kontextu ucelených témat, podporujících přirozený rozvoj mluvené řeči a rozvoj širokého spektra kognitivních a afektivních funkcí.</w:t>
      </w:r>
      <w:r w:rsidRPr="007B2460">
        <w:t xml:space="preserve"> </w:t>
      </w:r>
    </w:p>
    <w:p w:rsidR="004E7209" w:rsidRPr="00E41AE3" w:rsidRDefault="004E7209" w:rsidP="007B6789">
      <w:pPr>
        <w:pStyle w:val="DSP-Text"/>
        <w:spacing w:line="360" w:lineRule="auto"/>
      </w:pPr>
      <w:r w:rsidRPr="00747B55">
        <w:t>Důležitým prvkem, který se váže k pestré nabídce různých činností, je uplatňování tzv. principu volby. Jedním z klíčových slov se pak stává vlastní zkušenost dítěte. Inspiraci v otázkách přístupů k vlastní práci dítěte s textem (poznávání tvarů písmen, propojování hlásky a písmene, pokusy o psaní písmen a krátkých textů, globální přístup ke čtení slov atd.), jež směřují k herním činnostem, které umožňují dítěti realizovat vlastní objevitelskou činnost a současně respektují jeho individualitu, lze hledat v přístupech v některých z inovativních vzdělávacích programů (např. celostní přístup k rozvoji jazykových a čtenářských kompetencí ve vzdělávacím programu Začít spolu apod.).</w:t>
      </w:r>
      <w:r>
        <w:t xml:space="preserve">  </w:t>
      </w:r>
    </w:p>
    <w:p w:rsidR="004E7209" w:rsidRPr="00E41AE3" w:rsidRDefault="004E7209" w:rsidP="00E41AE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E7209" w:rsidRDefault="004E7209" w:rsidP="00E41AE3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E41AE3">
        <w:rPr>
          <w:rFonts w:ascii="Arial" w:hAnsi="Arial" w:cs="Arial"/>
          <w:b/>
          <w:sz w:val="24"/>
          <w:szCs w:val="24"/>
        </w:rPr>
        <w:t>Použité zdroje</w:t>
      </w:r>
    </w:p>
    <w:p w:rsidR="004E7209" w:rsidRPr="004166F0" w:rsidRDefault="004E7209" w:rsidP="004166F0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166F0">
        <w:rPr>
          <w:rFonts w:ascii="Times New Roman" w:hAnsi="Times New Roman"/>
          <w:sz w:val="24"/>
          <w:szCs w:val="24"/>
        </w:rPr>
        <w:t>BEDNÁŘOVÁ</w:t>
      </w:r>
      <w:r>
        <w:rPr>
          <w:rFonts w:ascii="Times New Roman" w:hAnsi="Times New Roman"/>
          <w:sz w:val="24"/>
          <w:szCs w:val="24"/>
        </w:rPr>
        <w:t xml:space="preserve">, Jiřina a ŠMARDOVÁ, Vlasta (2011). Školní zralost. Co by mělo umět dítě před vstupem do školy. Brno: Computer Press. </w:t>
      </w:r>
    </w:p>
    <w:p w:rsidR="004E7209" w:rsidRDefault="004E7209" w:rsidP="00B90CE8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DOGMAN, Glenn (1964). How to Teach Your Baby Read. New York. </w:t>
      </w:r>
    </w:p>
    <w:p w:rsidR="004E7209" w:rsidRDefault="004E7209" w:rsidP="00B90CE8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DOLEŽALOVÁ, Jana (2010). Rozvoj grafomotoriky v projektech. Praha: Portál.</w:t>
      </w:r>
    </w:p>
    <w:p w:rsidR="004E7209" w:rsidRDefault="004E7209" w:rsidP="00B90CE8">
      <w:pPr>
        <w:pStyle w:val="DSP-Literatura"/>
        <w:numPr>
          <w:ilvl w:val="0"/>
          <w:numId w:val="1"/>
        </w:numPr>
        <w:spacing w:line="360" w:lineRule="auto"/>
      </w:pPr>
      <w:r>
        <w:t xml:space="preserve">HEIN, Hilke (1991). </w:t>
      </w:r>
      <w:r w:rsidRPr="00BC0E9E">
        <w:t>Spielend lesen lernen</w:t>
      </w:r>
      <w:r>
        <w:t xml:space="preserve">. Reinbek bei Hamburk: Rowohlt.  </w:t>
      </w:r>
    </w:p>
    <w:p w:rsidR="004E7209" w:rsidRPr="00807526" w:rsidRDefault="004E7209" w:rsidP="00B90CE8">
      <w:pPr>
        <w:pStyle w:val="DSP-Text"/>
        <w:numPr>
          <w:ilvl w:val="0"/>
          <w:numId w:val="1"/>
        </w:numPr>
        <w:spacing w:line="360" w:lineRule="auto"/>
      </w:pPr>
      <w:r>
        <w:t xml:space="preserve">GAVORA, Peter a KRČMÁRIKOVÁ, Mária (1998). Detske predstavy o gramotnosti. </w:t>
      </w:r>
      <w:r>
        <w:lastRenderedPageBreak/>
        <w:t xml:space="preserve">In: MAREŠ, J; SVATOŠ, T. (ed). Novinky v pedagogické a školní psychologii. Zlín: Asociace školní psychologie ČR a SR. Lingua. </w:t>
      </w:r>
    </w:p>
    <w:p w:rsidR="004E7209" w:rsidRPr="00D829F6" w:rsidRDefault="004E7209" w:rsidP="00B90CE8">
      <w:pPr>
        <w:pStyle w:val="DSP-Text"/>
        <w:numPr>
          <w:ilvl w:val="0"/>
          <w:numId w:val="1"/>
        </w:numPr>
        <w:spacing w:line="360" w:lineRule="auto"/>
      </w:pPr>
      <w:r>
        <w:t xml:space="preserve">GARDOŠOVÁ, Juliana a DUJKOVÁ, Lenka (2003). Začít spolu – Vzdělávací program. Metodický průvodce pro předškolní vzdělávání. Praha: Portál. </w:t>
      </w:r>
    </w:p>
    <w:p w:rsidR="004E7209" w:rsidRPr="00747B55" w:rsidRDefault="004E7209" w:rsidP="00B90CE8">
      <w:pPr>
        <w:pStyle w:val="DSP-Text"/>
        <w:numPr>
          <w:ilvl w:val="0"/>
          <w:numId w:val="1"/>
        </w:numPr>
        <w:spacing w:line="360" w:lineRule="auto"/>
        <w:rPr>
          <w:rFonts w:ascii="Sylfaen" w:hAnsi="Sylfaen"/>
        </w:rPr>
      </w:pPr>
      <w:r>
        <w:rPr>
          <w:rFonts w:ascii="Sylfaen" w:hAnsi="Sylfaen"/>
        </w:rPr>
        <w:t>GOODMAN</w:t>
      </w:r>
      <w:r w:rsidRPr="00242CA7">
        <w:rPr>
          <w:rFonts w:ascii="Sylfaen" w:hAnsi="Sylfaen"/>
        </w:rPr>
        <w:t>, K</w:t>
      </w:r>
      <w:r>
        <w:rPr>
          <w:rFonts w:ascii="Sylfaen" w:hAnsi="Sylfaen"/>
        </w:rPr>
        <w:t>enneth</w:t>
      </w:r>
      <w:r w:rsidRPr="00242CA7">
        <w:rPr>
          <w:rFonts w:ascii="Sylfaen" w:hAnsi="Sylfaen"/>
        </w:rPr>
        <w:t xml:space="preserve">. (1985). Comment lire et écrire viennet aux enfants. </w:t>
      </w:r>
      <w:r w:rsidRPr="00747B55">
        <w:rPr>
          <w:rFonts w:ascii="Sylfaen" w:hAnsi="Sylfaen"/>
        </w:rPr>
        <w:t>Perpectives, 15 (1), 66–71.</w:t>
      </w:r>
    </w:p>
    <w:p w:rsidR="004E7209" w:rsidRPr="00747B55" w:rsidRDefault="004E7209" w:rsidP="0068611B">
      <w:pPr>
        <w:pStyle w:val="DSP-Text"/>
        <w:numPr>
          <w:ilvl w:val="0"/>
          <w:numId w:val="1"/>
        </w:numPr>
        <w:spacing w:line="360" w:lineRule="auto"/>
      </w:pPr>
      <w:r w:rsidRPr="00747B55">
        <w:t xml:space="preserve">HAVLÍNOVÁ, Miluše (1978). Knížka pro rodiče o dětech a čtení. Praha: Albatros. </w:t>
      </w:r>
    </w:p>
    <w:p w:rsidR="004E7209" w:rsidRPr="00747B55" w:rsidRDefault="004E7209" w:rsidP="00B90CE8">
      <w:pPr>
        <w:pStyle w:val="DSP-Text"/>
        <w:numPr>
          <w:ilvl w:val="0"/>
          <w:numId w:val="1"/>
        </w:numPr>
        <w:spacing w:line="360" w:lineRule="auto"/>
      </w:pPr>
      <w:r w:rsidRPr="00747B55">
        <w:t xml:space="preserve">JUNA, Johanna, (1990). Kreatives Schreiben statt Abschreiben (Vom Sinn zum Zeichen). In: SANDHASS, B.; SCHNECK, P. (eds). Lesenlernen – Shreibenlernen: sborník příspěvků k interdisciplinární vědecké konferenci při příležitosti Mezinárodního roku alfabetizace. Bregenz, s. 75–85. </w:t>
      </w:r>
    </w:p>
    <w:p w:rsidR="004E7209" w:rsidRPr="00747B55" w:rsidRDefault="004E7209" w:rsidP="00B90CE8">
      <w:pPr>
        <w:pStyle w:val="DSP-Text"/>
        <w:numPr>
          <w:ilvl w:val="0"/>
          <w:numId w:val="1"/>
        </w:numPr>
        <w:spacing w:line="360" w:lineRule="auto"/>
      </w:pPr>
      <w:r w:rsidRPr="00747B55">
        <w:t xml:space="preserve">KOŠŤÁLOVÁ, Hana (2010). MUP neboli mapa učebního pokroku. Kritické listy, č. 40, s. 17–19.  </w:t>
      </w:r>
    </w:p>
    <w:p w:rsidR="004E7209" w:rsidRPr="00747B55" w:rsidRDefault="004E7209" w:rsidP="008039E8">
      <w:pPr>
        <w:pStyle w:val="DSP-Text"/>
        <w:numPr>
          <w:ilvl w:val="0"/>
          <w:numId w:val="1"/>
        </w:numPr>
        <w:spacing w:line="360" w:lineRule="auto"/>
        <w:rPr>
          <w:rStyle w:val="Hypertextovodkaz"/>
          <w:color w:val="auto"/>
          <w:u w:val="none"/>
        </w:rPr>
      </w:pPr>
      <w:r w:rsidRPr="00747B55">
        <w:t xml:space="preserve">KRATOCHVÍLOVÁ, Ivana (2010). Australské vývojové kontinuum – 1. díl – Úvod. In: Čtenářská gramotnost a projektové vyučování [online]. Jul 20, 2010[cit. 2013-04-18]. Dostupné z: </w:t>
      </w:r>
      <w:hyperlink r:id="rId7" w:history="1">
        <w:r w:rsidRPr="00747B55">
          <w:rPr>
            <w:rStyle w:val="Hypertextovodkaz"/>
            <w:color w:val="auto"/>
          </w:rPr>
          <w:t>http://www.ctenarska-gramotnost.cz/ctenarska-gramotnost/cg-zahranici/australske-kontinuum-cteni-1</w:t>
        </w:r>
      </w:hyperlink>
    </w:p>
    <w:p w:rsidR="004E7209" w:rsidRPr="00747B55" w:rsidRDefault="004E7209" w:rsidP="00F10C13">
      <w:pPr>
        <w:pStyle w:val="DSP-Text"/>
        <w:numPr>
          <w:ilvl w:val="0"/>
          <w:numId w:val="1"/>
        </w:numPr>
        <w:spacing w:line="360" w:lineRule="auto"/>
        <w:rPr>
          <w:rStyle w:val="Hypertextovodkaz"/>
          <w:color w:val="auto"/>
          <w:u w:val="none"/>
        </w:rPr>
      </w:pPr>
      <w:r w:rsidRPr="00747B55">
        <w:rPr>
          <w:rStyle w:val="Hypertextovodkaz"/>
          <w:color w:val="auto"/>
          <w:u w:val="none"/>
        </w:rPr>
        <w:t xml:space="preserve">KRAMPLOVÁ, Iveta a POTUŽNÍKOVÁ, Eva (2005). Jak (se) učí číst. Praha: ÚIV. </w:t>
      </w:r>
    </w:p>
    <w:p w:rsidR="004E7209" w:rsidRPr="00747B55" w:rsidRDefault="004E7209" w:rsidP="00B90CE8">
      <w:pPr>
        <w:pStyle w:val="DSP-Text"/>
        <w:numPr>
          <w:ilvl w:val="0"/>
          <w:numId w:val="1"/>
        </w:numPr>
        <w:spacing w:line="360" w:lineRule="auto"/>
      </w:pPr>
      <w:r w:rsidRPr="00747B55">
        <w:rPr>
          <w:rStyle w:val="Hypertextovodkaz"/>
          <w:color w:val="auto"/>
          <w:u w:val="none"/>
        </w:rPr>
        <w:t xml:space="preserve">KŘIVÁNEK, Zdeněk a SUŠICKÁ, Iva (1985). Prohloubená předškolní příprava na výuku čtení (Pracovní projekt a teoretická východiska, zahraniční a domácí zkušenosti). Praha: PedF UK. </w:t>
      </w:r>
    </w:p>
    <w:p w:rsidR="004E7209" w:rsidRPr="00747B55" w:rsidRDefault="004E7209" w:rsidP="00B90CE8">
      <w:pPr>
        <w:pStyle w:val="DSP-Text"/>
        <w:numPr>
          <w:ilvl w:val="0"/>
          <w:numId w:val="1"/>
        </w:numPr>
        <w:spacing w:line="360" w:lineRule="auto"/>
        <w:rPr>
          <w:rFonts w:ascii="Sylfaen" w:hAnsi="Sylfaen"/>
        </w:rPr>
      </w:pPr>
      <w:r w:rsidRPr="00747B55">
        <w:t>KUČERA, Miloš a VIKTOROVÁ, Ida (1998). Čtení/psaní v první třídě. In:</w:t>
      </w:r>
      <w:r w:rsidRPr="00747B55">
        <w:rPr>
          <w:rFonts w:ascii="Sylfaen" w:hAnsi="Sylfaen"/>
          <w:color w:val="000000"/>
          <w:shd w:val="clear" w:color="auto" w:fill="FFFFFF"/>
        </w:rPr>
        <w:t xml:space="preserve"> Pražská skupina školní etnografie (ed.)</w:t>
      </w:r>
      <w:r w:rsidRPr="00747B55">
        <w:rPr>
          <w:rFonts w:ascii="Sylfaen" w:hAnsi="Sylfaen"/>
          <w:i/>
          <w:color w:val="000000"/>
          <w:shd w:val="clear" w:color="auto" w:fill="FFFFFF"/>
        </w:rPr>
        <w:t xml:space="preserve">. </w:t>
      </w:r>
      <w:r w:rsidRPr="00747B55">
        <w:rPr>
          <w:rFonts w:ascii="Sylfaen" w:hAnsi="Sylfaen"/>
          <w:color w:val="000000"/>
          <w:shd w:val="clear" w:color="auto" w:fill="FFFFFF"/>
        </w:rPr>
        <w:t xml:space="preserve">První třída. Praha: Univerzita Karlova v Praze – Pedagogická fakulta, s 61–168. </w:t>
      </w:r>
    </w:p>
    <w:p w:rsidR="004E7209" w:rsidRPr="00747B55" w:rsidRDefault="004E7209" w:rsidP="00B90CE8">
      <w:pPr>
        <w:pStyle w:val="DSP-Text"/>
        <w:numPr>
          <w:ilvl w:val="0"/>
          <w:numId w:val="1"/>
        </w:numPr>
        <w:spacing w:line="360" w:lineRule="auto"/>
        <w:rPr>
          <w:rFonts w:ascii="Sylfaen" w:hAnsi="Sylfaen"/>
        </w:rPr>
      </w:pPr>
      <w:r w:rsidRPr="00747B55">
        <w:t>LIŠKA, Josef (1967).</w:t>
      </w:r>
      <w:r w:rsidRPr="00747B55">
        <w:rPr>
          <w:rFonts w:ascii="Sylfaen" w:hAnsi="Sylfaen"/>
        </w:rPr>
        <w:t xml:space="preserve"> Čítanie a reč dvoj a trojročních detí. In: Logopedický zborník 4–5. Košice, s. 31–127. </w:t>
      </w:r>
    </w:p>
    <w:p w:rsidR="004E7209" w:rsidRPr="00747B55" w:rsidRDefault="004E7209" w:rsidP="00B90CE8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47B55">
        <w:rPr>
          <w:rFonts w:ascii="Times New Roman" w:hAnsi="Times New Roman"/>
          <w:sz w:val="24"/>
          <w:szCs w:val="24"/>
        </w:rPr>
        <w:t xml:space="preserve">MENZEL, Wolfgang (2000). Lesen lernen – schreiben lernen. Braunschweig: Westermann. </w:t>
      </w:r>
    </w:p>
    <w:p w:rsidR="004E7209" w:rsidRPr="00747B55" w:rsidRDefault="004E7209" w:rsidP="00B90CE8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47B55">
        <w:rPr>
          <w:rFonts w:ascii="Times New Roman" w:hAnsi="Times New Roman"/>
          <w:sz w:val="24"/>
          <w:szCs w:val="24"/>
        </w:rPr>
        <w:lastRenderedPageBreak/>
        <w:t xml:space="preserve">OPRAVILOVÁ, Eva (2001). Pojetí, smysl a základní orientace předškolní výchovy. In: KOLLÁRIKOVÁ, Z.; PUPALA, B. (eds.). Předškolní a primární pedagogika. Praha: Portál.  </w:t>
      </w:r>
    </w:p>
    <w:p w:rsidR="004E7209" w:rsidRPr="00747B55" w:rsidRDefault="004E7209" w:rsidP="00C172E4">
      <w:pPr>
        <w:pStyle w:val="DSP-Text"/>
        <w:numPr>
          <w:ilvl w:val="0"/>
          <w:numId w:val="1"/>
        </w:numPr>
        <w:spacing w:line="360" w:lineRule="auto"/>
      </w:pPr>
      <w:r w:rsidRPr="00747B55">
        <w:t xml:space="preserve">REICHEN, Jürgen (1990). Plädoyer für einen Paradigmenwechsel in Erstleseunterricht. In: SANDHASS, B.; SCHNECK, P., eds. Lesenlernen – Shreibenlernen: sborník příspěvků k interdisciplinární vědecké konferenci při příležitosti Mezinárodního roku alfabetizace. Bregenz, s. 63–66. </w:t>
      </w:r>
    </w:p>
    <w:p w:rsidR="004E7209" w:rsidRPr="00747B55" w:rsidRDefault="004E7209" w:rsidP="00B90CE8">
      <w:pPr>
        <w:pStyle w:val="DSP-Text"/>
        <w:numPr>
          <w:ilvl w:val="0"/>
          <w:numId w:val="1"/>
        </w:numPr>
        <w:spacing w:line="360" w:lineRule="auto"/>
      </w:pPr>
      <w:r w:rsidRPr="00747B55">
        <w:t>RESNIC, Lauren a HAUPTON, Sally (2009). Reading and Writing Grade by Grade. New Standards. Pittsburgh: University of Pittsburgh and National Centre on Education and the Economy.</w:t>
      </w:r>
    </w:p>
    <w:p w:rsidR="004E7209" w:rsidRPr="00747B55" w:rsidRDefault="004E7209" w:rsidP="00B90CE8">
      <w:pPr>
        <w:pStyle w:val="DSP-Literatura"/>
        <w:numPr>
          <w:ilvl w:val="0"/>
          <w:numId w:val="1"/>
        </w:numPr>
        <w:spacing w:line="360" w:lineRule="auto"/>
      </w:pPr>
      <w:r w:rsidRPr="00747B55">
        <w:t xml:space="preserve">SPITTA, Gudrun (2000). Kinder Schreiben eigne Text: Klasse 1 und 2. Berlin: Cornelsen Scriptor. </w:t>
      </w:r>
    </w:p>
    <w:p w:rsidR="004E7209" w:rsidRPr="00747B55" w:rsidRDefault="004E7209" w:rsidP="00B90CE8">
      <w:pPr>
        <w:pStyle w:val="DSP-Literatura"/>
        <w:numPr>
          <w:ilvl w:val="0"/>
          <w:numId w:val="1"/>
        </w:numPr>
        <w:spacing w:line="360" w:lineRule="auto"/>
      </w:pPr>
      <w:r w:rsidRPr="00747B55">
        <w:t xml:space="preserve">ŠEBESTA, Karel (2005). Od jazyka ke komunikaci. Didaktika českého jazyka a komunikační výchovy. Praha: Karolinum. </w:t>
      </w:r>
    </w:p>
    <w:p w:rsidR="004E7209" w:rsidRPr="00747B55" w:rsidRDefault="004E7209" w:rsidP="00B90CE8">
      <w:pPr>
        <w:pStyle w:val="DSP-Text"/>
        <w:numPr>
          <w:ilvl w:val="0"/>
          <w:numId w:val="1"/>
        </w:numPr>
        <w:spacing w:line="360" w:lineRule="auto"/>
      </w:pPr>
      <w:r w:rsidRPr="00747B55">
        <w:t xml:space="preserve">ŠUPŠÁKOVÁ, Božena (1991). Detské písmo. Chyby a poruchy učení. Bratislava. </w:t>
      </w:r>
    </w:p>
    <w:p w:rsidR="004E7209" w:rsidRDefault="004E7209" w:rsidP="00B90CE8">
      <w:pPr>
        <w:pStyle w:val="DSP-Text"/>
        <w:numPr>
          <w:ilvl w:val="0"/>
          <w:numId w:val="1"/>
        </w:numPr>
        <w:spacing w:line="360" w:lineRule="auto"/>
      </w:pPr>
      <w:r w:rsidRPr="00747B55">
        <w:t xml:space="preserve">ULICHOVÁ, Michaela (2001). Mehrsprachigheit: Was bedeutet für Pädagogen und Pädagoginnen? In: BUCHER, A. A. Heimat in einer gobalisierten WELT. Wien: VerlagsgmbH et Co, KG. </w:t>
      </w:r>
    </w:p>
    <w:p w:rsidR="004E7209" w:rsidRPr="00747B55" w:rsidRDefault="004E7209" w:rsidP="00B90CE8">
      <w:pPr>
        <w:pStyle w:val="DSP-Text"/>
        <w:numPr>
          <w:ilvl w:val="0"/>
          <w:numId w:val="1"/>
        </w:numPr>
        <w:spacing w:line="360" w:lineRule="auto"/>
      </w:pPr>
      <w:r>
        <w:t xml:space="preserve">VYKOUKALOVÁ Věra a WILDOVÁ, Radka (2013). Rozvoj čtenářské gramotnosti v primární škole. Praha: PedF UK. </w:t>
      </w:r>
    </w:p>
    <w:p w:rsidR="004E7209" w:rsidRPr="00747B55" w:rsidRDefault="004E7209" w:rsidP="00B90CE8">
      <w:pPr>
        <w:pStyle w:val="DSP-Text"/>
        <w:numPr>
          <w:ilvl w:val="0"/>
          <w:numId w:val="1"/>
        </w:numPr>
        <w:spacing w:line="360" w:lineRule="auto"/>
      </w:pPr>
      <w:r w:rsidRPr="00747B55">
        <w:t xml:space="preserve">VIKTOROVÁ, Ida (2003). Psychogenetická teorie Emilie Ferreirové. In: GAVORA, P; ZÁPOTOČNÁ, O. a kol. Gramotnosť. Vývin a možnosti jej didaktického usmerňovanie. Bratislava: Universita Komenského Bratislava. </w:t>
      </w:r>
    </w:p>
    <w:p w:rsidR="004E7209" w:rsidRPr="00747B55" w:rsidRDefault="004E7209" w:rsidP="00B90CE8">
      <w:pPr>
        <w:pStyle w:val="DSP-Text"/>
        <w:numPr>
          <w:ilvl w:val="0"/>
          <w:numId w:val="1"/>
        </w:numPr>
        <w:spacing w:line="360" w:lineRule="auto"/>
      </w:pPr>
      <w:r w:rsidRPr="00747B55">
        <w:t xml:space="preserve">WILDOVÁ, Radka (2002). Současné trendy rozvoje prvopočátečního čtení a psaní v české škole. In: WILDOVÁ, R. (ed). Aktuální problémy didaktiky prvopočátečního čtení a psaní. Praha: PedF UK. </w:t>
      </w:r>
    </w:p>
    <w:p w:rsidR="004E7209" w:rsidRPr="00747B55" w:rsidRDefault="004E7209" w:rsidP="00B90CE8">
      <w:pPr>
        <w:pStyle w:val="DSP-Literatura"/>
        <w:numPr>
          <w:ilvl w:val="0"/>
          <w:numId w:val="1"/>
        </w:numPr>
        <w:spacing w:line="360" w:lineRule="auto"/>
      </w:pPr>
      <w:r w:rsidRPr="00747B55">
        <w:t xml:space="preserve">WILDOVÁ, Radka (2005a). Rozvoj počáteční čtenářské gramotnosti. Praha: PedF UK. </w:t>
      </w:r>
    </w:p>
    <w:p w:rsidR="004E7209" w:rsidRPr="00747B55" w:rsidRDefault="004E7209" w:rsidP="00B90CE8">
      <w:pPr>
        <w:pStyle w:val="DSP-Text"/>
        <w:numPr>
          <w:ilvl w:val="0"/>
          <w:numId w:val="1"/>
        </w:numPr>
        <w:spacing w:line="360" w:lineRule="auto"/>
      </w:pPr>
      <w:r w:rsidRPr="00747B55">
        <w:t xml:space="preserve">WILDOVÁ, Radka (2005b). Počáteční čtenářská gramotnost. In: SPILKOVÁ, V. a kol. Proměny primárního vzdělávání v ČR. Praha: Portál. </w:t>
      </w:r>
    </w:p>
    <w:p w:rsidR="004E7209" w:rsidRPr="00747B55" w:rsidRDefault="004E7209" w:rsidP="00B90CE8">
      <w:pPr>
        <w:pStyle w:val="DSP-Text"/>
        <w:numPr>
          <w:ilvl w:val="0"/>
          <w:numId w:val="1"/>
        </w:numPr>
        <w:spacing w:line="360" w:lineRule="auto"/>
      </w:pPr>
      <w:r w:rsidRPr="00747B55">
        <w:lastRenderedPageBreak/>
        <w:t>WILDOVÁ, Radka (2012). Rozvoj pregramotnosti a počáteční čtenářské gramotnosti v kurikulu evropských zemí. Pedagogika. č. 1–2, s. 10–21.</w:t>
      </w:r>
    </w:p>
    <w:p w:rsidR="004E7209" w:rsidRDefault="004E7209" w:rsidP="00380CAC">
      <w:pPr>
        <w:pStyle w:val="DSP-Literatura"/>
        <w:numPr>
          <w:ilvl w:val="0"/>
          <w:numId w:val="1"/>
        </w:numPr>
        <w:spacing w:line="360" w:lineRule="auto"/>
      </w:pPr>
      <w:r w:rsidRPr="00747B55">
        <w:t>ZÁPOTOČNÁ, Olga (2001). Rozvoj počiatočnej literárnej gramotnosti: In: KOLLÁRIKOVÁ, Z.; PUPALA, B. Předškolní a primární pedagogika</w:t>
      </w:r>
      <w:r w:rsidRPr="00747B55">
        <w:rPr>
          <w:i/>
        </w:rPr>
        <w:t>.</w:t>
      </w:r>
      <w:r w:rsidRPr="00747B55">
        <w:t xml:space="preserve"> Praha: Portál.</w:t>
      </w:r>
    </w:p>
    <w:p w:rsidR="004E7209" w:rsidRPr="00A526D3" w:rsidRDefault="004E7209" w:rsidP="00A526D3">
      <w:pPr>
        <w:pStyle w:val="DSP-Text"/>
      </w:pPr>
    </w:p>
    <w:p w:rsidR="004E7209" w:rsidRPr="00E41AE3" w:rsidRDefault="004E7209" w:rsidP="00E41AE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E7209" w:rsidRPr="00E41AE3" w:rsidRDefault="004E7209" w:rsidP="00E41AE3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E41AE3">
        <w:rPr>
          <w:rFonts w:ascii="Arial" w:hAnsi="Arial" w:cs="Arial"/>
          <w:b/>
          <w:sz w:val="24"/>
          <w:szCs w:val="24"/>
        </w:rPr>
        <w:t>Kontaktní informace</w:t>
      </w:r>
    </w:p>
    <w:p w:rsidR="004E7209" w:rsidRPr="00E41AE3" w:rsidRDefault="004E7209" w:rsidP="00E41AE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PhDr. Ing. Zuzana Maňourová</w:t>
      </w:r>
    </w:p>
    <w:p w:rsidR="004E7209" w:rsidRPr="00E41AE3" w:rsidRDefault="004E7209" w:rsidP="00E41AE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Jihočeská univerzita v Českých Budějovicích, Pedagogická fakulta, Katedra pedagogiky a psychologie, Dukelská 9, České Budějovice </w:t>
      </w:r>
    </w:p>
    <w:p w:rsidR="004E7209" w:rsidRPr="00E41AE3" w:rsidRDefault="004E7209" w:rsidP="00E41AE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zmanourova@pf.jcu.cz</w:t>
      </w:r>
    </w:p>
    <w:sectPr w:rsidR="004E7209" w:rsidRPr="00E41AE3" w:rsidSect="00AF0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AC3" w:rsidRDefault="00B34AC3" w:rsidP="00CE7F26">
      <w:pPr>
        <w:spacing w:after="0" w:line="240" w:lineRule="auto"/>
      </w:pPr>
      <w:r>
        <w:separator/>
      </w:r>
    </w:p>
  </w:endnote>
  <w:endnote w:type="continuationSeparator" w:id="0">
    <w:p w:rsidR="00B34AC3" w:rsidRDefault="00B34AC3" w:rsidP="00CE7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AC3" w:rsidRDefault="00B34AC3" w:rsidP="00CE7F26">
      <w:pPr>
        <w:spacing w:after="0" w:line="240" w:lineRule="auto"/>
      </w:pPr>
      <w:r>
        <w:separator/>
      </w:r>
    </w:p>
  </w:footnote>
  <w:footnote w:type="continuationSeparator" w:id="0">
    <w:p w:rsidR="00B34AC3" w:rsidRDefault="00B34AC3" w:rsidP="00CE7F26">
      <w:pPr>
        <w:spacing w:after="0" w:line="240" w:lineRule="auto"/>
      </w:pPr>
      <w:r>
        <w:continuationSeparator/>
      </w:r>
    </w:p>
  </w:footnote>
  <w:footnote w:id="1">
    <w:p w:rsidR="004E7209" w:rsidRDefault="004E7209" w:rsidP="00DC4539">
      <w:pPr>
        <w:pStyle w:val="Textpoznpodarou"/>
        <w:jc w:val="both"/>
      </w:pPr>
      <w:r w:rsidRPr="00747B55">
        <w:rPr>
          <w:rStyle w:val="Znakapoznpodarou"/>
        </w:rPr>
        <w:footnoteRef/>
      </w:r>
      <w:r w:rsidRPr="00747B55">
        <w:t xml:space="preserve"> Většina autorů v souvislosti a ve vztahu k deskripci kvantitativní a kvalitativní gradace čtenářských dovedností v různých obdobích označuje první etapu jako etapu pregramotnosti. Tato etapa zahrnuje období od 1. roku života do systematické školní výuky čtení (Wildová, 2005a, s. 10). Tato etapa bývá v různých zdrojích označována také jako etapa spontánní gramotnosti (Zápotočná, 2001; Doležalová, 2006) nebo etapa emergentní dětské gramotnosti (Havlínová, 1978; Gavora, Krčmáriková, 1998). Etapa počáteční gramotnosti navazuje bezprostředně na etapu pregramotnosti (Wildová, 2005a). </w:t>
      </w:r>
    </w:p>
  </w:footnote>
  <w:footnote w:id="2">
    <w:p w:rsidR="004E7209" w:rsidRDefault="004E7209" w:rsidP="00DC4539">
      <w:pPr>
        <w:pStyle w:val="Textpoznpodarou"/>
        <w:jc w:val="both"/>
      </w:pPr>
      <w:r w:rsidRPr="00747B55">
        <w:rPr>
          <w:rStyle w:val="Znakapoznpodarou"/>
        </w:rPr>
        <w:footnoteRef/>
      </w:r>
      <w:r w:rsidRPr="00747B55">
        <w:t xml:space="preserve"> Viktorová (2003), s odkazem na práce Ferreirové, pojmenovává tři stádia v úrovni prekonceptů: presylabické, sylabické a alfabetické.</w:t>
      </w:r>
    </w:p>
  </w:footnote>
  <w:footnote w:id="3">
    <w:p w:rsidR="004E7209" w:rsidRDefault="004E7209" w:rsidP="00DC4539">
      <w:pPr>
        <w:pStyle w:val="Textpoznpodarou"/>
        <w:jc w:val="both"/>
      </w:pPr>
      <w:r w:rsidRPr="00747B55">
        <w:rPr>
          <w:rStyle w:val="Znakapoznpodarou"/>
        </w:rPr>
        <w:footnoteRef/>
      </w:r>
      <w:r w:rsidRPr="00747B55">
        <w:t xml:space="preserve"> O řeči uvažujeme jako o komplexní schopnosti, jež zahrnuje rovinu foneticko-fonologickou, morfologicko-syntaktickou, lexikálně sémantickou a pragmatickou (srov. Bednářová, 2011).</w:t>
      </w:r>
      <w:r w:rsidRPr="007B2460">
        <w:t xml:space="preserve"> </w:t>
      </w:r>
    </w:p>
  </w:footnote>
  <w:footnote w:id="4">
    <w:p w:rsidR="004E7209" w:rsidRDefault="004E7209" w:rsidP="009C576B">
      <w:pPr>
        <w:pStyle w:val="Textpoznpodarou"/>
        <w:jc w:val="both"/>
      </w:pPr>
      <w:r w:rsidRPr="007B2460">
        <w:rPr>
          <w:rStyle w:val="Znakapoznpodarou"/>
        </w:rPr>
        <w:footnoteRef/>
      </w:r>
      <w:r w:rsidRPr="007B2460">
        <w:t xml:space="preserve"> Tyto koncepce korespondují se socio-psycholingvistickými modely a koncepcemi učení. </w:t>
      </w:r>
    </w:p>
  </w:footnote>
  <w:footnote w:id="5">
    <w:p w:rsidR="004E7209" w:rsidRDefault="004E7209" w:rsidP="009C576B">
      <w:pPr>
        <w:pStyle w:val="Textpoznpodarou"/>
        <w:jc w:val="both"/>
      </w:pPr>
      <w:r w:rsidRPr="007B2460">
        <w:rPr>
          <w:rStyle w:val="Znakapoznpodarou"/>
        </w:rPr>
        <w:footnoteRef/>
      </w:r>
      <w:r w:rsidRPr="007B2460">
        <w:t xml:space="preserve"> Doležalová (2010, s.</w:t>
      </w:r>
      <w:r>
        <w:t> </w:t>
      </w:r>
      <w:r w:rsidRPr="007B2460">
        <w:t xml:space="preserve">17) hovoří o </w:t>
      </w:r>
      <w:r w:rsidRPr="007B2460">
        <w:rPr>
          <w:i/>
        </w:rPr>
        <w:t>„jednotlivých složkách gramotnosti“</w:t>
      </w:r>
      <w:r w:rsidRPr="007B2460">
        <w:t xml:space="preserve">. </w:t>
      </w:r>
    </w:p>
  </w:footnote>
  <w:footnote w:id="6">
    <w:p w:rsidR="004E7209" w:rsidRPr="0058698D" w:rsidRDefault="004E7209" w:rsidP="008902F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58698D">
        <w:t xml:space="preserve">Vykoukalová, Wildová (2013) odkazují na definici čtenářské gramotnosti, vymezenou v šesti rovinách panelem čtenářské gramotnosti v materiálu: Gramotnosti ve vzdělávání. Soubor studií. Praha: VÚP, 2011. </w:t>
      </w:r>
    </w:p>
  </w:footnote>
  <w:footnote w:id="7">
    <w:p w:rsidR="004E7209" w:rsidRPr="0058698D" w:rsidRDefault="004E7209" w:rsidP="009C576B">
      <w:pPr>
        <w:pStyle w:val="Textpoznpodarou"/>
        <w:jc w:val="both"/>
      </w:pPr>
      <w:r w:rsidRPr="0058698D">
        <w:rPr>
          <w:rStyle w:val="Znakapoznpodarou"/>
        </w:rPr>
        <w:footnoteRef/>
      </w:r>
      <w:r w:rsidRPr="0058698D">
        <w:t xml:space="preserve"> Více o emergenčně kognitivních procesech např. Siebert (2003). </w:t>
      </w:r>
    </w:p>
  </w:footnote>
  <w:footnote w:id="8">
    <w:p w:rsidR="004E7209" w:rsidRDefault="004E7209" w:rsidP="009C576B">
      <w:pPr>
        <w:pStyle w:val="Textpoznpodarou"/>
        <w:jc w:val="both"/>
      </w:pPr>
      <w:r w:rsidRPr="007B2460">
        <w:rPr>
          <w:rStyle w:val="Znakapoznpodarou"/>
        </w:rPr>
        <w:footnoteRef/>
      </w:r>
      <w:r w:rsidRPr="007B2460">
        <w:t xml:space="preserve"> Více v kapitole Psychogenetická teorie vývoje psaní E. Ferreirové.</w:t>
      </w:r>
    </w:p>
  </w:footnote>
  <w:footnote w:id="9">
    <w:p w:rsidR="004E7209" w:rsidRDefault="004E7209" w:rsidP="009C576B">
      <w:pPr>
        <w:pStyle w:val="Textpoznpodarou"/>
        <w:jc w:val="both"/>
      </w:pPr>
      <w:r w:rsidRPr="007B2460">
        <w:rPr>
          <w:rStyle w:val="Znakapoznpodarou"/>
        </w:rPr>
        <w:footnoteRef/>
      </w:r>
      <w:r>
        <w:t xml:space="preserve"> Zápotočná (2001, s. </w:t>
      </w:r>
      <w:r w:rsidRPr="007B2460">
        <w:t>274) upozorňuje na nebezpečí nevyužití vývojového potenciálu pro další rozvoj gramotnostn</w:t>
      </w:r>
      <w:r>
        <w:t>ích dovedností. Helus (2004, s. </w:t>
      </w:r>
      <w:r w:rsidRPr="007B2460">
        <w:t>94) hovoří o využívání tzv. bohatství potencialit růstu a rozvoje dítěte.</w:t>
      </w:r>
    </w:p>
  </w:footnote>
  <w:footnote w:id="10">
    <w:p w:rsidR="004E7209" w:rsidRDefault="004E7209" w:rsidP="006F28FF">
      <w:pPr>
        <w:pStyle w:val="Textpoznpodarou"/>
      </w:pPr>
      <w:r w:rsidRPr="007B2460">
        <w:rPr>
          <w:rStyle w:val="Znakapoznpodarou"/>
        </w:rPr>
        <w:footnoteRef/>
      </w:r>
      <w:r>
        <w:t xml:space="preserve"> Wildová (2005a, s. </w:t>
      </w:r>
      <w:r w:rsidRPr="007B2460">
        <w:t xml:space="preserve">24) s odkazem na Vygotského (1970) zmiňuje tzv. zónu nejbližšího vývoje. </w:t>
      </w:r>
    </w:p>
  </w:footnote>
  <w:footnote w:id="11">
    <w:p w:rsidR="004E7209" w:rsidRDefault="004E7209" w:rsidP="0066559C">
      <w:pPr>
        <w:pStyle w:val="Textpoznpodarou"/>
        <w:jc w:val="both"/>
      </w:pPr>
      <w:r w:rsidRPr="007B2460">
        <w:rPr>
          <w:rStyle w:val="Znakapoznpodarou"/>
        </w:rPr>
        <w:footnoteRef/>
      </w:r>
      <w:r w:rsidRPr="007B2460">
        <w:t xml:space="preserve"> Pod pojmem bohaté literární zkušenosti zahrnujeme zkušenosti různého charakteru, korespondující s vymezením obsahu gramotnosti jako </w:t>
      </w:r>
      <w:r w:rsidRPr="007B2460">
        <w:rPr>
          <w:i/>
        </w:rPr>
        <w:t xml:space="preserve">„komplexního rozvoje jazykových </w:t>
      </w:r>
      <w:r w:rsidRPr="00747B55">
        <w:rPr>
          <w:i/>
        </w:rPr>
        <w:t>kompetencí“.</w:t>
      </w:r>
    </w:p>
  </w:footnote>
  <w:footnote w:id="12">
    <w:p w:rsidR="004E7209" w:rsidRDefault="004E7209" w:rsidP="0066559C">
      <w:pPr>
        <w:pStyle w:val="Textpoznpodarou"/>
        <w:jc w:val="both"/>
      </w:pPr>
      <w:r w:rsidRPr="007B2460">
        <w:rPr>
          <w:rStyle w:val="Znakapoznpodarou"/>
        </w:rPr>
        <w:footnoteRef/>
      </w:r>
      <w:r w:rsidRPr="007B2460">
        <w:t xml:space="preserve"> Mezi základní okruhy činností patří činnosti, jež rozvíjejí schopnost porozumění předčítanému textu, vedou děti k předvídání situací a převyprávění, dále činnosti, které napomáhají budovat jejich vztah ke čtení, činnosti, které rozvíjejí jejich vizuálně-percepční a fonologické schopnosti a grafomotorické dovednosti.  </w:t>
      </w:r>
    </w:p>
  </w:footnote>
  <w:footnote w:id="13">
    <w:p w:rsidR="004E7209" w:rsidRDefault="004E7209" w:rsidP="00F97D82">
      <w:pPr>
        <w:spacing w:after="0"/>
        <w:jc w:val="both"/>
      </w:pPr>
      <w:r w:rsidRPr="007B2460">
        <w:rPr>
          <w:rStyle w:val="Znakapoznpodarou"/>
          <w:rFonts w:ascii="Times New Roman" w:hAnsi="Times New Roman"/>
        </w:rPr>
        <w:footnoteRef/>
      </w:r>
      <w:r w:rsidRPr="007B2460">
        <w:rPr>
          <w:rFonts w:ascii="Times New Roman" w:hAnsi="Times New Roman"/>
        </w:rPr>
        <w:t xml:space="preserve"> </w:t>
      </w:r>
      <w:r w:rsidRPr="00747B55">
        <w:rPr>
          <w:rFonts w:ascii="Times New Roman" w:hAnsi="Times New Roman"/>
          <w:sz w:val="20"/>
          <w:szCs w:val="20"/>
        </w:rPr>
        <w:t>V letech 1983–1984 probíhal paralelně experiment v mateřské škole v Brandýse n. Labem a mateřské škole v Kutné Hoře, jehož cílem bylo ověřit efektivnost tzv. předškolní herní přípravy na čtení. Děti předškolního věku tak byly postupně (řízeným zaměstnáním), v průběhu celého školního roku, seznamovány se základy čtení zhruba v rozsahu učiva Živé abecedy.</w:t>
      </w:r>
    </w:p>
  </w:footnote>
  <w:footnote w:id="14">
    <w:p w:rsidR="004E7209" w:rsidRDefault="004E7209" w:rsidP="00D868F6">
      <w:pPr>
        <w:pStyle w:val="Textpoznpodarou"/>
        <w:jc w:val="both"/>
      </w:pPr>
      <w:r w:rsidRPr="00747B55">
        <w:rPr>
          <w:rStyle w:val="Znakapoznpodarou"/>
        </w:rPr>
        <w:footnoteRef/>
      </w:r>
      <w:r w:rsidRPr="00747B55">
        <w:t xml:space="preserve"> Souhrnný přehled vývoje názorů na pojetí předškolní výchovy ve vztahu k osvojování gramotnosti v souvislosti s různými  teoriemi učení uvádí Wildová (2005a, s. 31–38).</w:t>
      </w:r>
      <w:r w:rsidRPr="007B2460">
        <w:t xml:space="preserve"> </w:t>
      </w:r>
    </w:p>
  </w:footnote>
  <w:footnote w:id="15">
    <w:p w:rsidR="004E7209" w:rsidRDefault="004E7209" w:rsidP="00747B55">
      <w:pPr>
        <w:pStyle w:val="Textpoznpodarou"/>
        <w:jc w:val="both"/>
      </w:pPr>
      <w:r w:rsidRPr="00747B55">
        <w:rPr>
          <w:rStyle w:val="Znakapoznpodarou"/>
        </w:rPr>
        <w:footnoteRef/>
      </w:r>
      <w:r>
        <w:t>M</w:t>
      </w:r>
      <w:r w:rsidRPr="00747B55">
        <w:t>yslí se zřejmě rozpoznávání slov jako slovních celků, což vyplývá z popisu dalšího projektu, který Söderbergová realizovala u dvanácti dětí ve věku jeden a půl až čtyři</w:t>
      </w:r>
      <w:r>
        <w:t xml:space="preserve"> roky ve vybrané mateřské škole.</w:t>
      </w:r>
    </w:p>
  </w:footnote>
  <w:footnote w:id="16">
    <w:p w:rsidR="004E7209" w:rsidRDefault="004E7209" w:rsidP="00531967">
      <w:pPr>
        <w:pStyle w:val="Textpoznpodarou"/>
        <w:jc w:val="both"/>
      </w:pPr>
      <w:r w:rsidRPr="007B2460">
        <w:rPr>
          <w:rStyle w:val="Znakapoznpodarou"/>
        </w:rPr>
        <w:footnoteRef/>
      </w:r>
      <w:r w:rsidRPr="007B2460">
        <w:t xml:space="preserve"> Výzkum, který prováděla v 90. letech v Německu Heinová </w:t>
      </w:r>
      <w:r>
        <w:t>(1991</w:t>
      </w:r>
      <w:r w:rsidRPr="00747B55">
        <w:t>), b</w:t>
      </w:r>
      <w:r w:rsidRPr="007B2460">
        <w:t>yl zaměřen na žáky 1. ročníků primární školy (výzkumný vzorek čítal 1008 žáků) a soustředil se na tzv. rané čtenáře (tedy žáky, kteří se naučili číst již v předškolním věku).</w:t>
      </w:r>
    </w:p>
  </w:footnote>
  <w:footnote w:id="17">
    <w:p w:rsidR="004E7209" w:rsidRDefault="004E7209" w:rsidP="00A21DCD">
      <w:pPr>
        <w:pStyle w:val="Textpoznpodarou"/>
        <w:jc w:val="both"/>
      </w:pPr>
      <w:r w:rsidRPr="007B2460">
        <w:rPr>
          <w:rStyle w:val="Znakapoznpodarou"/>
        </w:rPr>
        <w:footnoteRef/>
      </w:r>
      <w:r w:rsidRPr="007B2460">
        <w:t xml:space="preserve"> Výsledky analýz a komparací kurikulárních dokumentů vybraných evropských států uvádí Wildová (2012a; 2012b; 2005)</w:t>
      </w:r>
    </w:p>
  </w:footnote>
  <w:footnote w:id="18">
    <w:p w:rsidR="004E7209" w:rsidRDefault="004E7209" w:rsidP="00A21DC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Wildová (2012, s. </w:t>
      </w:r>
      <w:r w:rsidRPr="007B2460">
        <w:t xml:space="preserve">13) upozorňuje na aktuální situaci v Maďarsku, </w:t>
      </w:r>
      <w:r w:rsidRPr="00747B55">
        <w:t xml:space="preserve">kdy se systematická výuka čtení začleňuje do předškolní přípravy. </w:t>
      </w:r>
    </w:p>
  </w:footnote>
  <w:footnote w:id="19">
    <w:p w:rsidR="004E7209" w:rsidRDefault="004E7209">
      <w:pPr>
        <w:pStyle w:val="Textpoznpodarou"/>
      </w:pPr>
      <w:r w:rsidRPr="00747B55">
        <w:rPr>
          <w:rStyle w:val="Znakapoznpodarou"/>
        </w:rPr>
        <w:footnoteRef/>
      </w:r>
      <w:r w:rsidRPr="00747B55">
        <w:t xml:space="preserve"> Více např. Kramplová, Potužníková (2005).</w:t>
      </w:r>
      <w:r>
        <w:t xml:space="preserve"> </w:t>
      </w:r>
    </w:p>
  </w:footnote>
  <w:footnote w:id="20">
    <w:p w:rsidR="004E7209" w:rsidRDefault="004E7209" w:rsidP="00385E0C">
      <w:pPr>
        <w:spacing w:line="240" w:lineRule="auto"/>
        <w:jc w:val="both"/>
      </w:pPr>
      <w:r w:rsidRPr="007B2460">
        <w:rPr>
          <w:rStyle w:val="Znakapoznpodarou"/>
          <w:rFonts w:ascii="Times New Roman" w:hAnsi="Times New Roman"/>
        </w:rPr>
        <w:footnoteRef/>
      </w:r>
      <w:r w:rsidRPr="007B2460">
        <w:rPr>
          <w:rFonts w:ascii="Times New Roman" w:hAnsi="Times New Roman"/>
        </w:rPr>
        <w:t xml:space="preserve"> </w:t>
      </w:r>
      <w:r w:rsidRPr="00385E0C">
        <w:rPr>
          <w:rFonts w:ascii="Times New Roman" w:hAnsi="Times New Roman"/>
          <w:sz w:val="20"/>
          <w:szCs w:val="20"/>
        </w:rPr>
        <w:t>Practice Guidance for the Early Years Foundation Stage. Nottingham: DCSF Publication, 2008.Statutory Framework for EYFS: learning and development. The Nation Strategies [online], 1997 – 2010. [cit. 2010-4-21]. Dostupné z /http://nationalstrategies.standards.dcsf.gov.uk/node/84020?uc = force_uj/.</w:t>
      </w:r>
    </w:p>
  </w:footnote>
  <w:footnote w:id="21">
    <w:p w:rsidR="004E7209" w:rsidRDefault="004E7209" w:rsidP="00385E0C">
      <w:pPr>
        <w:pStyle w:val="Textpoznpodarou"/>
        <w:jc w:val="both"/>
      </w:pPr>
      <w:r w:rsidRPr="007B2460">
        <w:rPr>
          <w:rStyle w:val="Znakapoznpodarou"/>
        </w:rPr>
        <w:footnoteRef/>
      </w:r>
      <w:r w:rsidRPr="007B2460">
        <w:t xml:space="preserve"> </w:t>
      </w:r>
      <w:r w:rsidRPr="00747B55">
        <w:t>Podle výsledků mezinárodního srovnávacího výzkumu PIRLS 2001 se švédští žáci umístili na prvních místech na všech pěti základních hodnocených škálách. Výborných výsledků dosáhli také žáci Anglie, kteří obsadili v závěrečném hodnocení vždy některé z prvních pěti míst v hodnocených škálách (podle Kramplové, Potužníkové, 2005, s. 13–14).</w:t>
      </w:r>
    </w:p>
  </w:footnote>
  <w:footnote w:id="22">
    <w:p w:rsidR="004E7209" w:rsidRDefault="004E7209" w:rsidP="00A21DCD">
      <w:pPr>
        <w:pStyle w:val="Textpoznpodarou"/>
        <w:jc w:val="both"/>
      </w:pPr>
      <w:r w:rsidRPr="00747B55">
        <w:rPr>
          <w:rStyle w:val="Znakapoznpodarou"/>
        </w:rPr>
        <w:footnoteRef/>
      </w:r>
      <w:r w:rsidRPr="00747B55">
        <w:t xml:space="preserve"> K rozvíjení pregramotnosti dětí předškolního věku se přímo vztahují kapitola „Jazyk a řeč“ (s. 18–19) a kapitola „Poznávací schopnosti a funkce, představivost a fantazie, myšlenkové operace“ (Rámcový vzdělávací program pro předškolní vzdělávání, 2005).</w:t>
      </w:r>
      <w:r w:rsidRPr="007B2460">
        <w:t xml:space="preserve"> </w:t>
      </w:r>
    </w:p>
  </w:footnote>
  <w:footnote w:id="23">
    <w:p w:rsidR="004E7209" w:rsidRDefault="004E7209" w:rsidP="001636FD">
      <w:pPr>
        <w:pStyle w:val="Textpoznpodarou"/>
        <w:jc w:val="both"/>
      </w:pPr>
      <w:r w:rsidRPr="007B2460">
        <w:rPr>
          <w:rStyle w:val="Znakapoznpodarou"/>
        </w:rPr>
        <w:footnoteRef/>
      </w:r>
      <w:r w:rsidRPr="007B2460">
        <w:t xml:space="preserve"> RVP PV nepočítá se systematickou výukou počátečního čtení. Ja</w:t>
      </w:r>
      <w:r>
        <w:t>k upozorňuje Wildová (2005a, s. </w:t>
      </w:r>
      <w:r w:rsidRPr="007B2460">
        <w:t xml:space="preserve">37), projeví-li dítě zájem o písmo, mělo by být v tomto zájmu podpořeno, přičemž </w:t>
      </w:r>
      <w:r w:rsidRPr="007B2460">
        <w:rPr>
          <w:i/>
        </w:rPr>
        <w:t xml:space="preserve">„zkušenosti ze školní praxe ukazují, že předškolní zájem o počátky čtení a psaní se stává samozřejmostí“. </w:t>
      </w:r>
    </w:p>
  </w:footnote>
  <w:footnote w:id="24">
    <w:p w:rsidR="004E7209" w:rsidRDefault="004E7209" w:rsidP="001636FD">
      <w:pPr>
        <w:pStyle w:val="Textpoznpodarou"/>
        <w:jc w:val="both"/>
      </w:pPr>
      <w:r w:rsidRPr="007B2460">
        <w:rPr>
          <w:rStyle w:val="Znakapoznpodarou"/>
        </w:rPr>
        <w:footnoteRef/>
      </w:r>
      <w:r w:rsidRPr="007B2460">
        <w:t xml:space="preserve"> Např. vzdělávací program Začít spolu nabízí dětem v rámci volitelných činností také aktivity, které děti seznamují s psanou řečí (děti pracují se slovy jako slovními celky, slova poznávají, opisují, přirozenou cestou tak objevují písmo a funkci psané řeči).</w:t>
      </w:r>
      <w:r>
        <w:t xml:space="preserve"> Děti jsou konfrontovány</w:t>
      </w:r>
      <w:r w:rsidRPr="007B2460">
        <w:t xml:space="preserve"> s dostatkem</w:t>
      </w:r>
      <w:r>
        <w:t xml:space="preserve"> tištěného materiálu a je jim umožněno</w:t>
      </w:r>
      <w:r w:rsidRPr="007B2460">
        <w:t xml:space="preserve"> vlastního experimentování </w:t>
      </w:r>
      <w:r>
        <w:t xml:space="preserve">s psanou řečí </w:t>
      </w:r>
      <w:r w:rsidRPr="007B2460">
        <w:t>(Gardošová, Dujková, 2003)</w:t>
      </w:r>
      <w:r>
        <w:t>.</w:t>
      </w:r>
    </w:p>
  </w:footnote>
  <w:footnote w:id="25">
    <w:p w:rsidR="004E7209" w:rsidRDefault="004E7209" w:rsidP="001636FD">
      <w:pPr>
        <w:pStyle w:val="Textpoznpodarou"/>
        <w:jc w:val="both"/>
      </w:pPr>
      <w:r w:rsidRPr="007B2460">
        <w:rPr>
          <w:rStyle w:val="Znakapoznpodarou"/>
        </w:rPr>
        <w:footnoteRef/>
      </w:r>
      <w:r w:rsidRPr="007B2460">
        <w:t xml:space="preserve"> Vývojová kontinua bývají označována také jako „mapy učebního pokroku žáků“ (Košťálová, 2010). </w:t>
      </w:r>
    </w:p>
  </w:footnote>
  <w:footnote w:id="26">
    <w:p w:rsidR="004E7209" w:rsidRDefault="004E7209" w:rsidP="001636FD">
      <w:pPr>
        <w:pStyle w:val="Textpoznpodarou"/>
        <w:jc w:val="both"/>
      </w:pPr>
      <w:r w:rsidRPr="007B2460">
        <w:rPr>
          <w:rStyle w:val="Znakapoznpodarou"/>
        </w:rPr>
        <w:footnoteRef/>
      </w:r>
      <w:r w:rsidRPr="007B2460">
        <w:t xml:space="preserve"> Mají-li tyto činnosti směřovat spíše k propedeutice čtení a psaní, </w:t>
      </w:r>
      <w:r>
        <w:t>tj. zaměřovat se spíše na podporu</w:t>
      </w:r>
      <w:r w:rsidRPr="007B2460">
        <w:t xml:space="preserve"> rozvoje percepčních předpokladů, nebo </w:t>
      </w:r>
      <w:r>
        <w:t xml:space="preserve">již </w:t>
      </w:r>
      <w:r w:rsidRPr="007B2460">
        <w:t xml:space="preserve">seznamovat děti prostřednictvím herních aktivit se systémem psané řeči. </w:t>
      </w:r>
    </w:p>
  </w:footnote>
  <w:footnote w:id="27">
    <w:p w:rsidR="004E7209" w:rsidRDefault="004E7209" w:rsidP="006F28FF">
      <w:pPr>
        <w:pStyle w:val="Textpoznpodarou"/>
        <w:jc w:val="both"/>
      </w:pPr>
      <w:r w:rsidRPr="007B2460">
        <w:rPr>
          <w:rStyle w:val="Znakapoznpodarou"/>
        </w:rPr>
        <w:footnoteRef/>
      </w:r>
      <w:r w:rsidRPr="007B2460">
        <w:t xml:space="preserve"> </w:t>
      </w:r>
      <w:r w:rsidRPr="00747B55">
        <w:t>Wildová (2005a, s. 38) upozorňuje ovšem na nebezpečí „extrémního“ pojetí koncepce emergentního vývoje, kdy vývoj dítěte je ponechán pouze na jeho zájm</w:t>
      </w:r>
      <w:r>
        <w:t xml:space="preserve">u, kdy </w:t>
      </w:r>
      <w:r w:rsidRPr="00747B55">
        <w:t xml:space="preserve">jsou zavrhovány jakékoliv řízené činnosti podněcující vývoj dítěte. </w:t>
      </w:r>
    </w:p>
  </w:footnote>
  <w:footnote w:id="28">
    <w:p w:rsidR="004E7209" w:rsidRDefault="004E7209" w:rsidP="006F28FF">
      <w:pPr>
        <w:pStyle w:val="Textpoznpodarou"/>
        <w:jc w:val="both"/>
      </w:pPr>
      <w:r w:rsidRPr="00747B55">
        <w:rPr>
          <w:rStyle w:val="Znakapoznpodarou"/>
        </w:rPr>
        <w:footnoteRef/>
      </w:r>
      <w:r w:rsidRPr="00747B55">
        <w:t xml:space="preserve"> Aktivity s dětmi v předškolním věku s různými typy knih, podpora rozvoje jejich metakognitivních funkcí, kdy je dítě vedeno také k vědomé volbě „vlastní“ knihy a kdy je podporován rozvoj širšího spektra gramotnostních dovedností, je obsahem semináře „Čteme s nečtenáři“, realizovaného Kritickým myšlením, o. s. [cit2014-2-13]. Dostupné z: http://www.kritickemysleni.cz/aktuality.php.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771A5"/>
    <w:multiLevelType w:val="multilevel"/>
    <w:tmpl w:val="315E629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CB07A70"/>
    <w:multiLevelType w:val="hybridMultilevel"/>
    <w:tmpl w:val="D80868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0D08E1"/>
    <w:multiLevelType w:val="hybridMultilevel"/>
    <w:tmpl w:val="7FA091AA"/>
    <w:lvl w:ilvl="0" w:tplc="250EFE12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A351A"/>
    <w:multiLevelType w:val="multilevel"/>
    <w:tmpl w:val="E3D88080"/>
    <w:lvl w:ilvl="0">
      <w:start w:val="3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2E315360"/>
    <w:multiLevelType w:val="multilevel"/>
    <w:tmpl w:val="9B92B9B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AE3"/>
    <w:rsid w:val="0000778F"/>
    <w:rsid w:val="00030789"/>
    <w:rsid w:val="000472FC"/>
    <w:rsid w:val="00055510"/>
    <w:rsid w:val="0007618B"/>
    <w:rsid w:val="00081316"/>
    <w:rsid w:val="00086094"/>
    <w:rsid w:val="00094B1D"/>
    <w:rsid w:val="000959FF"/>
    <w:rsid w:val="000D17B0"/>
    <w:rsid w:val="000E4699"/>
    <w:rsid w:val="000E683A"/>
    <w:rsid w:val="000F0011"/>
    <w:rsid w:val="000F1CE9"/>
    <w:rsid w:val="0010354B"/>
    <w:rsid w:val="00105058"/>
    <w:rsid w:val="001244F8"/>
    <w:rsid w:val="001636FD"/>
    <w:rsid w:val="001A12F0"/>
    <w:rsid w:val="001A229B"/>
    <w:rsid w:val="001A7DC2"/>
    <w:rsid w:val="001D0016"/>
    <w:rsid w:val="001D0A60"/>
    <w:rsid w:val="001F3DB2"/>
    <w:rsid w:val="0022074A"/>
    <w:rsid w:val="002240EA"/>
    <w:rsid w:val="00241145"/>
    <w:rsid w:val="00242CA7"/>
    <w:rsid w:val="002767BC"/>
    <w:rsid w:val="002A349D"/>
    <w:rsid w:val="002A670D"/>
    <w:rsid w:val="003634EF"/>
    <w:rsid w:val="00380CAC"/>
    <w:rsid w:val="00385E0C"/>
    <w:rsid w:val="003A1189"/>
    <w:rsid w:val="003A78D4"/>
    <w:rsid w:val="003D0512"/>
    <w:rsid w:val="003F09F0"/>
    <w:rsid w:val="0040337B"/>
    <w:rsid w:val="00404DFF"/>
    <w:rsid w:val="004166F0"/>
    <w:rsid w:val="00445E0A"/>
    <w:rsid w:val="00446EEE"/>
    <w:rsid w:val="00462228"/>
    <w:rsid w:val="00466FEC"/>
    <w:rsid w:val="004D4583"/>
    <w:rsid w:val="004E7209"/>
    <w:rsid w:val="004F505B"/>
    <w:rsid w:val="004F7F64"/>
    <w:rsid w:val="00504CBC"/>
    <w:rsid w:val="00507C5B"/>
    <w:rsid w:val="00531967"/>
    <w:rsid w:val="0058698D"/>
    <w:rsid w:val="00591193"/>
    <w:rsid w:val="0059795C"/>
    <w:rsid w:val="005E788E"/>
    <w:rsid w:val="005F30D9"/>
    <w:rsid w:val="005F6D27"/>
    <w:rsid w:val="00604921"/>
    <w:rsid w:val="00613E8A"/>
    <w:rsid w:val="00615A8C"/>
    <w:rsid w:val="00615FD3"/>
    <w:rsid w:val="006272FE"/>
    <w:rsid w:val="0063495B"/>
    <w:rsid w:val="006441B0"/>
    <w:rsid w:val="006652F4"/>
    <w:rsid w:val="0066559C"/>
    <w:rsid w:val="00666670"/>
    <w:rsid w:val="006779C5"/>
    <w:rsid w:val="0068611B"/>
    <w:rsid w:val="006962AD"/>
    <w:rsid w:val="006B0F75"/>
    <w:rsid w:val="006F28FF"/>
    <w:rsid w:val="006F44EA"/>
    <w:rsid w:val="00700AA1"/>
    <w:rsid w:val="00721DF0"/>
    <w:rsid w:val="00736509"/>
    <w:rsid w:val="00747B55"/>
    <w:rsid w:val="00762004"/>
    <w:rsid w:val="007821A6"/>
    <w:rsid w:val="007B2460"/>
    <w:rsid w:val="007B6789"/>
    <w:rsid w:val="007F08D3"/>
    <w:rsid w:val="008039E8"/>
    <w:rsid w:val="00807526"/>
    <w:rsid w:val="00816F13"/>
    <w:rsid w:val="008331D6"/>
    <w:rsid w:val="00865916"/>
    <w:rsid w:val="008902F1"/>
    <w:rsid w:val="00893F7E"/>
    <w:rsid w:val="008A24FD"/>
    <w:rsid w:val="008A4AD5"/>
    <w:rsid w:val="008B6479"/>
    <w:rsid w:val="008D20E9"/>
    <w:rsid w:val="008E0A50"/>
    <w:rsid w:val="009220AA"/>
    <w:rsid w:val="00933F9C"/>
    <w:rsid w:val="0095281B"/>
    <w:rsid w:val="00955CFB"/>
    <w:rsid w:val="00971744"/>
    <w:rsid w:val="00975DD0"/>
    <w:rsid w:val="009A21C0"/>
    <w:rsid w:val="009B1FFB"/>
    <w:rsid w:val="009C576B"/>
    <w:rsid w:val="009D3CE7"/>
    <w:rsid w:val="009E71ED"/>
    <w:rsid w:val="00A10E4E"/>
    <w:rsid w:val="00A21DCD"/>
    <w:rsid w:val="00A526D3"/>
    <w:rsid w:val="00A65932"/>
    <w:rsid w:val="00A70C3A"/>
    <w:rsid w:val="00A81126"/>
    <w:rsid w:val="00A82422"/>
    <w:rsid w:val="00AB1F36"/>
    <w:rsid w:val="00AC75AF"/>
    <w:rsid w:val="00AD5FA3"/>
    <w:rsid w:val="00AF0BC1"/>
    <w:rsid w:val="00B07720"/>
    <w:rsid w:val="00B1184A"/>
    <w:rsid w:val="00B2621E"/>
    <w:rsid w:val="00B30943"/>
    <w:rsid w:val="00B34AC3"/>
    <w:rsid w:val="00B45372"/>
    <w:rsid w:val="00B545C9"/>
    <w:rsid w:val="00B90CE8"/>
    <w:rsid w:val="00B92AC1"/>
    <w:rsid w:val="00BC0E9E"/>
    <w:rsid w:val="00C037A6"/>
    <w:rsid w:val="00C172E4"/>
    <w:rsid w:val="00C4742E"/>
    <w:rsid w:val="00C858BE"/>
    <w:rsid w:val="00C950CD"/>
    <w:rsid w:val="00CB7F95"/>
    <w:rsid w:val="00CC731F"/>
    <w:rsid w:val="00CD449F"/>
    <w:rsid w:val="00CE7F26"/>
    <w:rsid w:val="00D31389"/>
    <w:rsid w:val="00D33C6E"/>
    <w:rsid w:val="00D43212"/>
    <w:rsid w:val="00D73058"/>
    <w:rsid w:val="00D77990"/>
    <w:rsid w:val="00D829F6"/>
    <w:rsid w:val="00D84437"/>
    <w:rsid w:val="00D868F6"/>
    <w:rsid w:val="00D933D2"/>
    <w:rsid w:val="00D935BC"/>
    <w:rsid w:val="00DC3BB8"/>
    <w:rsid w:val="00DC3E13"/>
    <w:rsid w:val="00DC4539"/>
    <w:rsid w:val="00E04871"/>
    <w:rsid w:val="00E124C1"/>
    <w:rsid w:val="00E22144"/>
    <w:rsid w:val="00E36BEE"/>
    <w:rsid w:val="00E40E78"/>
    <w:rsid w:val="00E41AE3"/>
    <w:rsid w:val="00E71599"/>
    <w:rsid w:val="00EA2DF2"/>
    <w:rsid w:val="00EA7821"/>
    <w:rsid w:val="00EB5572"/>
    <w:rsid w:val="00EB7BB8"/>
    <w:rsid w:val="00EC6FC6"/>
    <w:rsid w:val="00F07347"/>
    <w:rsid w:val="00F10C13"/>
    <w:rsid w:val="00F11DA8"/>
    <w:rsid w:val="00F327BD"/>
    <w:rsid w:val="00F66D70"/>
    <w:rsid w:val="00F67140"/>
    <w:rsid w:val="00F73711"/>
    <w:rsid w:val="00F97D82"/>
    <w:rsid w:val="00FF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E4EAD33-3A85-45A9-BF6E-483B60B9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0BC1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E41AE3"/>
    <w:pPr>
      <w:ind w:left="720"/>
      <w:contextualSpacing/>
    </w:pPr>
  </w:style>
  <w:style w:type="table" w:styleId="Mkatabulky">
    <w:name w:val="Table Grid"/>
    <w:basedOn w:val="Normlntabulka"/>
    <w:uiPriority w:val="99"/>
    <w:rsid w:val="00E41AE3"/>
    <w:rPr>
      <w:rFonts w:ascii="Times New Roman" w:hAnsi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E41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41AE3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rsid w:val="00CE7F2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CE7F26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CE7F26"/>
    <w:rPr>
      <w:rFonts w:cs="Times New Roman"/>
      <w:vertAlign w:val="superscript"/>
    </w:rPr>
  </w:style>
  <w:style w:type="paragraph" w:customStyle="1" w:styleId="DSP-Text">
    <w:name w:val="DSP-Text"/>
    <w:basedOn w:val="Normln"/>
    <w:uiPriority w:val="99"/>
    <w:rsid w:val="00A21DCD"/>
    <w:pPr>
      <w:widowControl w:val="0"/>
      <w:suppressAutoHyphens/>
      <w:spacing w:before="120" w:after="0" w:line="240" w:lineRule="auto"/>
      <w:ind w:firstLine="454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DSP-Literatura">
    <w:name w:val="DSP-Literatura"/>
    <w:basedOn w:val="DSP-Text"/>
    <w:next w:val="DSP-Text"/>
    <w:uiPriority w:val="99"/>
    <w:rsid w:val="001F3DB2"/>
    <w:pPr>
      <w:ind w:firstLine="0"/>
    </w:pPr>
  </w:style>
  <w:style w:type="character" w:styleId="Hypertextovodkaz">
    <w:name w:val="Hyperlink"/>
    <w:basedOn w:val="Standardnpsmoodstavce"/>
    <w:uiPriority w:val="99"/>
    <w:rsid w:val="00BC0E9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Standardnpsmoodstavce"/>
    <w:uiPriority w:val="99"/>
    <w:rsid w:val="00F0734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30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tenarska-gramotnost.cz/ctenarska-gramotnost/cg-zahranici/australske-kontinuum-cteni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3689</Words>
  <Characters>21769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Přístupy k rozvíjení čtenářské gramotnosti u dětí v předškolním věku</vt:lpstr>
    </vt:vector>
  </TitlesOfParts>
  <Company>UHK</Company>
  <LinksUpToDate>false</LinksUpToDate>
  <CharactersWithSpaces>25408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Přístupy k rozvíjení čtenářské gramotnosti u dětí v předškolním věku</dc:title>
  <dc:creator>Skutil Martin</dc:creator>
  <cp:lastModifiedBy>Svobodová</cp:lastModifiedBy>
  <cp:revision>2</cp:revision>
  <dcterms:created xsi:type="dcterms:W3CDTF">2015-02-26T18:56:00Z</dcterms:created>
  <dcterms:modified xsi:type="dcterms:W3CDTF">2015-02-26T18:56:00Z</dcterms:modified>
</cp:coreProperties>
</file>